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37F7" w14:textId="77777777" w:rsidR="002B3A8D" w:rsidRDefault="002B3A8D">
      <w:pPr>
        <w:rPr>
          <w:rFonts w:ascii="Titillium Web" w:eastAsia="Titillium Web" w:hAnsi="Titillium Web" w:cs="Titillium Web"/>
        </w:rPr>
      </w:pPr>
    </w:p>
    <w:p w14:paraId="2FE137F8" w14:textId="77777777" w:rsidR="002B3A8D" w:rsidRPr="00750737" w:rsidRDefault="00934C32">
      <w:pPr>
        <w:pStyle w:val="Titre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line="384" w:lineRule="auto"/>
        <w:jc w:val="center"/>
        <w:rPr>
          <w:rFonts w:ascii="Titillium Web" w:eastAsia="Titillium Web" w:hAnsi="Titillium Web" w:cs="Titillium Web"/>
          <w:b/>
          <w:sz w:val="32"/>
          <w:szCs w:val="32"/>
          <w:lang w:val="en-US"/>
        </w:rPr>
      </w:pPr>
      <w:r w:rsidRPr="00750737">
        <w:rPr>
          <w:rFonts w:ascii="Titillium Web" w:eastAsia="Titillium Web" w:hAnsi="Titillium Web" w:cs="Titillium Web"/>
          <w:b/>
          <w:color w:val="0D0D0D"/>
          <w:sz w:val="22"/>
          <w:szCs w:val="22"/>
          <w:lang w:val="en-US"/>
        </w:rPr>
        <w:t>Press Release</w:t>
      </w:r>
    </w:p>
    <w:p w14:paraId="2FE137F9" w14:textId="792B8F65" w:rsidR="002B3A8D" w:rsidRPr="005B2C16" w:rsidRDefault="00934C32" w:rsidP="5DB5C7BF">
      <w:pPr>
        <w:spacing w:before="240" w:after="240"/>
        <w:jc w:val="center"/>
        <w:rPr>
          <w:rFonts w:ascii="Titillium Web" w:eastAsia="Titillium Web" w:hAnsi="Titillium Web" w:cs="Titillium Web"/>
          <w:b/>
          <w:bCs/>
          <w:sz w:val="34"/>
          <w:szCs w:val="34"/>
          <w:lang w:val="en-US"/>
        </w:rPr>
      </w:pPr>
      <w:r w:rsidRPr="005B2C16">
        <w:rPr>
          <w:rFonts w:ascii="Titillium Web" w:eastAsia="Titillium Web" w:hAnsi="Titillium Web" w:cs="Titillium Web"/>
          <w:b/>
          <w:bCs/>
          <w:sz w:val="34"/>
          <w:szCs w:val="34"/>
          <w:lang w:val="en-US"/>
        </w:rPr>
        <w:t xml:space="preserve">CILCARE </w:t>
      </w:r>
      <w:r w:rsidR="00287ACE" w:rsidRPr="005B2C16">
        <w:rPr>
          <w:rFonts w:ascii="Titillium Web" w:eastAsia="Titillium Web" w:hAnsi="Titillium Web" w:cs="Titillium Web"/>
          <w:b/>
          <w:bCs/>
          <w:sz w:val="34"/>
          <w:szCs w:val="34"/>
          <w:lang w:val="en-US"/>
        </w:rPr>
        <w:t xml:space="preserve">ANNOUNCES </w:t>
      </w:r>
      <w:r w:rsidR="00FD5E85" w:rsidRPr="005B2C16">
        <w:rPr>
          <w:rFonts w:ascii="Titillium Web" w:eastAsia="Titillium Web" w:hAnsi="Titillium Web" w:cs="Titillium Web"/>
          <w:b/>
          <w:bCs/>
          <w:sz w:val="34"/>
          <w:szCs w:val="34"/>
          <w:lang w:val="en-US"/>
        </w:rPr>
        <w:t xml:space="preserve">PRESENTATION OF </w:t>
      </w:r>
      <w:r w:rsidR="00287ACE" w:rsidRPr="005B2C16">
        <w:rPr>
          <w:rFonts w:ascii="Titillium Web" w:eastAsia="Titillium Web" w:hAnsi="Titillium Web" w:cs="Titillium Web"/>
          <w:b/>
          <w:bCs/>
          <w:sz w:val="34"/>
          <w:szCs w:val="34"/>
          <w:lang w:val="en-US"/>
        </w:rPr>
        <w:t>DIAMANT CLINICAL TRIAL RESULTS</w:t>
      </w:r>
      <w:r w:rsidR="00FD5E85" w:rsidRPr="005B2C16">
        <w:rPr>
          <w:rFonts w:ascii="Titillium Web" w:eastAsia="Titillium Web" w:hAnsi="Titillium Web" w:cs="Titillium Web"/>
          <w:b/>
          <w:bCs/>
          <w:sz w:val="34"/>
          <w:szCs w:val="34"/>
          <w:lang w:val="en-US"/>
        </w:rPr>
        <w:t xml:space="preserve"> AT ARO 2026</w:t>
      </w:r>
      <w:r w:rsidR="00632DCC" w:rsidRPr="005B2C16">
        <w:rPr>
          <w:rFonts w:ascii="Titillium Web" w:eastAsia="Titillium Web" w:hAnsi="Titillium Web" w:cs="Titillium Web"/>
          <w:b/>
          <w:bCs/>
          <w:sz w:val="34"/>
          <w:szCs w:val="34"/>
          <w:lang w:val="en-US"/>
        </w:rPr>
        <w:t xml:space="preserve">, </w:t>
      </w:r>
      <w:r w:rsidR="00584E64" w:rsidRPr="005B2C16">
        <w:rPr>
          <w:rFonts w:ascii="Titillium Web" w:eastAsia="Titillium Web" w:hAnsi="Titillium Web" w:cs="Titillium Web"/>
          <w:b/>
          <w:bCs/>
          <w:sz w:val="34"/>
          <w:szCs w:val="34"/>
          <w:lang w:val="en-US"/>
        </w:rPr>
        <w:t>ADVANCING BIOMARKERS FOR HIDDEN HEARING LOSS IN METABOLIC DISORDERS</w:t>
      </w:r>
    </w:p>
    <w:p w14:paraId="1D9C657F" w14:textId="6561D857" w:rsidR="000027F6" w:rsidRPr="00C1607B" w:rsidRDefault="00934C32" w:rsidP="00C1607B">
      <w:pPr>
        <w:spacing w:before="240" w:after="240"/>
        <w:jc w:val="both"/>
        <w:rPr>
          <w:rFonts w:ascii="Titillium Web" w:hAnsi="Titillium Web" w:cs="Segoe UI"/>
          <w:b/>
          <w:bCs/>
          <w:color w:val="0D0D0D"/>
          <w:shd w:val="clear" w:color="auto" w:fill="FFFFFF"/>
          <w:lang w:val="en-US"/>
        </w:rPr>
      </w:pPr>
      <w:r w:rsidRPr="002A1EF1">
        <w:rPr>
          <w:rFonts w:ascii="Titillium Web" w:eastAsia="Titillium Web" w:hAnsi="Titillium Web" w:cs="Titillium Web"/>
          <w:b/>
          <w:bCs/>
          <w:lang w:val="en-US"/>
        </w:rPr>
        <w:t xml:space="preserve">Montpellier, France – </w:t>
      </w:r>
      <w:r w:rsidR="00287ACE" w:rsidRPr="002A1EF1">
        <w:rPr>
          <w:rFonts w:ascii="Titillium Web" w:eastAsia="Titillium Web" w:hAnsi="Titillium Web" w:cs="Titillium Web"/>
          <w:b/>
          <w:bCs/>
          <w:lang w:val="en-US"/>
        </w:rPr>
        <w:t>February</w:t>
      </w:r>
      <w:r w:rsidR="00D223B5" w:rsidRPr="002A1EF1">
        <w:rPr>
          <w:rFonts w:ascii="Titillium Web" w:eastAsia="Titillium Web" w:hAnsi="Titillium Web" w:cs="Titillium Web"/>
          <w:b/>
          <w:bCs/>
          <w:lang w:val="en-US"/>
        </w:rPr>
        <w:t xml:space="preserve"> </w:t>
      </w:r>
      <w:r w:rsidR="00287ACE" w:rsidRPr="002A1EF1">
        <w:rPr>
          <w:rFonts w:ascii="Titillium Web" w:eastAsia="Titillium Web" w:hAnsi="Titillium Web" w:cs="Titillium Web"/>
          <w:b/>
          <w:bCs/>
          <w:lang w:val="en-US"/>
        </w:rPr>
        <w:t>6</w:t>
      </w:r>
      <w:r w:rsidR="00D223B5" w:rsidRPr="002A1EF1">
        <w:rPr>
          <w:rFonts w:ascii="Titillium Web" w:eastAsia="Titillium Web" w:hAnsi="Titillium Web" w:cs="Titillium Web"/>
          <w:b/>
          <w:bCs/>
          <w:lang w:val="en-US"/>
        </w:rPr>
        <w:t>, 202</w:t>
      </w:r>
      <w:r w:rsidR="00287ACE" w:rsidRPr="002A1EF1">
        <w:rPr>
          <w:rFonts w:ascii="Titillium Web" w:eastAsia="Titillium Web" w:hAnsi="Titillium Web" w:cs="Titillium Web"/>
          <w:b/>
          <w:bCs/>
          <w:lang w:val="en-US"/>
        </w:rPr>
        <w:t>6</w:t>
      </w:r>
      <w:r w:rsidRPr="5DB5C7BF">
        <w:rPr>
          <w:rFonts w:ascii="Titillium Web" w:eastAsia="Titillium Web" w:hAnsi="Titillium Web" w:cs="Titillium Web"/>
          <w:b/>
          <w:bCs/>
          <w:lang w:val="en-US"/>
        </w:rPr>
        <w:t xml:space="preserve"> – Cilcare, a biotechnology company specializing in </w:t>
      </w:r>
      <w:r w:rsidR="00750737" w:rsidRPr="5DB5C7BF">
        <w:rPr>
          <w:rFonts w:ascii="Titillium Web" w:eastAsia="Titillium Web" w:hAnsi="Titillium Web" w:cs="Titillium Web"/>
          <w:b/>
          <w:bCs/>
          <w:lang w:val="en-US"/>
        </w:rPr>
        <w:t>auditory</w:t>
      </w:r>
      <w:r w:rsidRPr="5DB5C7BF">
        <w:rPr>
          <w:rFonts w:ascii="Titillium Web" w:eastAsia="Titillium Web" w:hAnsi="Titillium Web" w:cs="Titillium Web"/>
          <w:b/>
          <w:bCs/>
          <w:lang w:val="en-US"/>
        </w:rPr>
        <w:t xml:space="preserve"> sciences, is pleased to announce</w:t>
      </w:r>
      <w:r w:rsidR="00D107F3">
        <w:rPr>
          <w:rFonts w:ascii="Titillium Web" w:eastAsia="Titillium Web" w:hAnsi="Titillium Web" w:cs="Titillium Web"/>
          <w:b/>
          <w:bCs/>
          <w:lang w:val="en-US"/>
        </w:rPr>
        <w:t xml:space="preserve"> </w:t>
      </w:r>
      <w:r w:rsidR="00EE1E2D">
        <w:rPr>
          <w:rFonts w:ascii="Titillium Web" w:eastAsia="Titillium Web" w:hAnsi="Titillium Web" w:cs="Titillium Web"/>
          <w:b/>
          <w:bCs/>
          <w:lang w:val="en-US"/>
        </w:rPr>
        <w:t xml:space="preserve">the presentation of clinical results from its </w:t>
      </w:r>
      <w:r w:rsidR="006F32BE">
        <w:rPr>
          <w:rFonts w:ascii="Titillium Web" w:eastAsia="Titillium Web" w:hAnsi="Titillium Web" w:cs="Titillium Web"/>
          <w:b/>
          <w:bCs/>
          <w:lang w:val="en-US"/>
        </w:rPr>
        <w:t xml:space="preserve">first observational clinical study, Diamant, </w:t>
      </w:r>
      <w:r w:rsidR="000D7E95">
        <w:rPr>
          <w:rFonts w:ascii="Titillium Web" w:eastAsia="Titillium Web" w:hAnsi="Titillium Web" w:cs="Titillium Web"/>
          <w:b/>
          <w:bCs/>
          <w:lang w:val="en-US"/>
        </w:rPr>
        <w:t xml:space="preserve">at the 2026 ARO </w:t>
      </w:r>
      <w:proofErr w:type="spellStart"/>
      <w:r w:rsidR="000D7E95">
        <w:rPr>
          <w:rFonts w:ascii="Titillium Web" w:eastAsia="Titillium Web" w:hAnsi="Titillium Web" w:cs="Titillium Web"/>
          <w:b/>
          <w:bCs/>
          <w:lang w:val="en-US"/>
        </w:rPr>
        <w:t>MidWinter</w:t>
      </w:r>
      <w:proofErr w:type="spellEnd"/>
      <w:r w:rsidR="000D7E95">
        <w:rPr>
          <w:rFonts w:ascii="Titillium Web" w:eastAsia="Titillium Web" w:hAnsi="Titillium Web" w:cs="Titillium Web"/>
          <w:b/>
          <w:bCs/>
          <w:lang w:val="en-US"/>
        </w:rPr>
        <w:t xml:space="preserve"> Meeting held in Puerto Rico. </w:t>
      </w:r>
      <w:r w:rsidR="004143A7">
        <w:rPr>
          <w:rFonts w:ascii="Titillium Web" w:eastAsia="Titillium Web" w:hAnsi="Titillium Web" w:cs="Titillium Web"/>
          <w:b/>
          <w:bCs/>
          <w:lang w:val="en-US"/>
        </w:rPr>
        <w:t xml:space="preserve">The results </w:t>
      </w:r>
      <w:r w:rsidR="00C1607B">
        <w:rPr>
          <w:rFonts w:ascii="Titillium Web" w:eastAsia="Titillium Web" w:hAnsi="Titillium Web" w:cs="Titillium Web"/>
          <w:b/>
          <w:bCs/>
          <w:lang w:val="en-US"/>
        </w:rPr>
        <w:t>will be</w:t>
      </w:r>
      <w:r w:rsidR="004143A7">
        <w:rPr>
          <w:rFonts w:ascii="Titillium Web" w:eastAsia="Titillium Web" w:hAnsi="Titillium Web" w:cs="Titillium Web"/>
          <w:b/>
          <w:bCs/>
          <w:lang w:val="en-US"/>
        </w:rPr>
        <w:t xml:space="preserve"> presented by Professor Jérôme </w:t>
      </w:r>
      <w:proofErr w:type="spellStart"/>
      <w:r w:rsidR="004143A7">
        <w:rPr>
          <w:rFonts w:ascii="Titillium Web" w:eastAsia="Titillium Web" w:hAnsi="Titillium Web" w:cs="Titillium Web"/>
          <w:b/>
          <w:bCs/>
          <w:lang w:val="en-US"/>
        </w:rPr>
        <w:t>Nevoux</w:t>
      </w:r>
      <w:proofErr w:type="spellEnd"/>
      <w:r w:rsidR="004143A7">
        <w:rPr>
          <w:rFonts w:ascii="Titillium Web" w:eastAsia="Titillium Web" w:hAnsi="Titillium Web" w:cs="Titillium Web"/>
          <w:b/>
          <w:bCs/>
          <w:lang w:val="en-US"/>
        </w:rPr>
        <w:t xml:space="preserve">, ENT </w:t>
      </w:r>
      <w:r w:rsidR="00E30E8A">
        <w:rPr>
          <w:rFonts w:ascii="Titillium Web" w:eastAsia="Titillium Web" w:hAnsi="Titillium Web" w:cs="Titillium Web"/>
          <w:b/>
          <w:bCs/>
          <w:lang w:val="en-US"/>
        </w:rPr>
        <w:t>physician</w:t>
      </w:r>
      <w:r w:rsidR="009B641D">
        <w:rPr>
          <w:rFonts w:ascii="Titillium Web" w:eastAsia="Titillium Web" w:hAnsi="Titillium Web" w:cs="Titillium Web"/>
          <w:b/>
          <w:bCs/>
          <w:lang w:val="en-US"/>
        </w:rPr>
        <w:t xml:space="preserve"> at </w:t>
      </w:r>
      <w:r w:rsidR="004C5217">
        <w:rPr>
          <w:rFonts w:ascii="Titillium Web" w:eastAsia="Titillium Web" w:hAnsi="Titillium Web" w:cs="Titillium Web"/>
          <w:b/>
          <w:bCs/>
          <w:lang w:val="en-US"/>
        </w:rPr>
        <w:t>Bicêtre Hospital, Paris</w:t>
      </w:r>
      <w:r w:rsidR="00E30E8A">
        <w:rPr>
          <w:rFonts w:ascii="Titillium Web" w:eastAsia="Titillium Web" w:hAnsi="Titillium Web" w:cs="Titillium Web"/>
          <w:b/>
          <w:bCs/>
          <w:lang w:val="en-US"/>
        </w:rPr>
        <w:t xml:space="preserve"> during a scientific sessio</w:t>
      </w:r>
      <w:r w:rsidR="00FC5FD6">
        <w:rPr>
          <w:rFonts w:ascii="Titillium Web" w:eastAsia="Titillium Web" w:hAnsi="Titillium Web" w:cs="Titillium Web"/>
          <w:b/>
          <w:bCs/>
          <w:lang w:val="en-US"/>
        </w:rPr>
        <w:t xml:space="preserve">n dedicated to </w:t>
      </w:r>
      <w:r w:rsidR="00F021E0" w:rsidRPr="00D00C76">
        <w:rPr>
          <w:b/>
          <w:bCs/>
          <w:i/>
          <w:iCs/>
          <w:lang w:val="en-US"/>
        </w:rPr>
        <w:t>Neural Mechanisms of Speech Perception</w:t>
      </w:r>
      <w:r w:rsidR="00F021E0">
        <w:rPr>
          <w:b/>
          <w:bCs/>
          <w:i/>
          <w:iCs/>
          <w:lang w:val="en-US"/>
        </w:rPr>
        <w:t>.</w:t>
      </w:r>
    </w:p>
    <w:p w14:paraId="16583CBD" w14:textId="08BF83FB" w:rsidR="0063657A" w:rsidRDefault="002B4C1C" w:rsidP="00287ACE">
      <w:pPr>
        <w:jc w:val="both"/>
        <w:rPr>
          <w:rFonts w:ascii="Titillium Web" w:eastAsia="Titillium Web" w:hAnsi="Titillium Web" w:cs="Titillium Web"/>
          <w:lang w:val="en-US"/>
        </w:rPr>
      </w:pPr>
      <w:r w:rsidRPr="002B4C1C">
        <w:rPr>
          <w:rFonts w:ascii="Titillium Web" w:eastAsia="Titillium Web" w:hAnsi="Titillium Web" w:cs="Titillium Web"/>
          <w:lang w:val="en-US"/>
        </w:rPr>
        <w:t>Sensorineural hearing loss is an underrecognized comorbidity of Type 2 diabetes, potentially driven by peripheral auditory neuropathies</w:t>
      </w:r>
      <w:r w:rsidR="00AA5A0B">
        <w:rPr>
          <w:rFonts w:ascii="Titillium Web" w:eastAsia="Titillium Web" w:hAnsi="Titillium Web" w:cs="Titillium Web"/>
          <w:lang w:val="en-US"/>
        </w:rPr>
        <w:t xml:space="preserve"> </w:t>
      </w:r>
      <w:r w:rsidR="00E50F26">
        <w:rPr>
          <w:rFonts w:ascii="Titillium Web" w:eastAsia="Titillium Web" w:hAnsi="Titillium Web" w:cs="Titillium Web"/>
          <w:lang w:val="en-US"/>
        </w:rPr>
        <w:t>including</w:t>
      </w:r>
      <w:r w:rsidR="00AA5A0B">
        <w:rPr>
          <w:rFonts w:ascii="Titillium Web" w:eastAsia="Titillium Web" w:hAnsi="Titillium Web" w:cs="Titillium Web"/>
          <w:lang w:val="en-US"/>
        </w:rPr>
        <w:t xml:space="preserve"> cochlear </w:t>
      </w:r>
      <w:proofErr w:type="spellStart"/>
      <w:r w:rsidR="00AA5A0B">
        <w:rPr>
          <w:rFonts w:ascii="Titillium Web" w:eastAsia="Titillium Web" w:hAnsi="Titillium Web" w:cs="Titillium Web"/>
          <w:lang w:val="en-US"/>
        </w:rPr>
        <w:t>synaptopathy</w:t>
      </w:r>
      <w:proofErr w:type="spellEnd"/>
      <w:r w:rsidR="00AA5A0B">
        <w:rPr>
          <w:rFonts w:ascii="Titillium Web" w:eastAsia="Titillium Web" w:hAnsi="Titillium Web" w:cs="Titillium Web"/>
          <w:lang w:val="en-US"/>
        </w:rPr>
        <w:t>,</w:t>
      </w:r>
      <w:r w:rsidRPr="002B4C1C">
        <w:rPr>
          <w:rFonts w:ascii="Titillium Web" w:eastAsia="Titillium Web" w:hAnsi="Titillium Web" w:cs="Titillium Web"/>
          <w:lang w:val="en-US"/>
        </w:rPr>
        <w:t xml:space="preserve"> </w:t>
      </w:r>
      <w:r w:rsidR="00E50F26">
        <w:rPr>
          <w:rFonts w:ascii="Titillium Web" w:eastAsia="Titillium Web" w:hAnsi="Titillium Web" w:cs="Titillium Web"/>
          <w:lang w:val="en-US"/>
        </w:rPr>
        <w:t>as well as</w:t>
      </w:r>
      <w:r w:rsidRPr="002B4C1C">
        <w:rPr>
          <w:rFonts w:ascii="Titillium Web" w:eastAsia="Titillium Web" w:hAnsi="Titillium Web" w:cs="Titillium Web"/>
          <w:lang w:val="en-US"/>
        </w:rPr>
        <w:t xml:space="preserve"> inflammatory mechanisms. These alterations may lead to early speech-in-noise comprehension deficits </w:t>
      </w:r>
      <w:r w:rsidR="000E5855" w:rsidRPr="000E5855">
        <w:rPr>
          <w:rFonts w:ascii="Titillium Web" w:eastAsia="Titillium Web" w:hAnsi="Titillium Web" w:cs="Titillium Web"/>
          <w:lang w:val="en-US"/>
        </w:rPr>
        <w:t>despite hearing thresholds remaining within normal limits, a condition commonly referred to as hidden hearing loss.</w:t>
      </w:r>
    </w:p>
    <w:p w14:paraId="1FEE2993" w14:textId="77777777" w:rsidR="000E5855" w:rsidRPr="000E5855" w:rsidRDefault="000E5855" w:rsidP="00287ACE">
      <w:pPr>
        <w:jc w:val="both"/>
        <w:rPr>
          <w:rFonts w:ascii="Titillium Web" w:eastAsia="Titillium Web" w:hAnsi="Titillium Web" w:cs="Titillium Web"/>
          <w:lang w:val="en-US"/>
        </w:rPr>
      </w:pPr>
    </w:p>
    <w:p w14:paraId="0E6C0A68" w14:textId="41A1B777" w:rsidR="002D0CC1" w:rsidRPr="002D0CC1" w:rsidRDefault="002D0CC1" w:rsidP="00287ACE">
      <w:pPr>
        <w:jc w:val="both"/>
        <w:rPr>
          <w:rFonts w:ascii="Titillium Web" w:eastAsia="Titillium Web" w:hAnsi="Titillium Web" w:cs="Titillium Web"/>
          <w:lang w:val="en-US"/>
        </w:rPr>
      </w:pPr>
      <w:proofErr w:type="spellStart"/>
      <w:r w:rsidRPr="002D0CC1">
        <w:rPr>
          <w:rFonts w:ascii="Titillium Web" w:eastAsia="Titillium Web" w:hAnsi="Titillium Web" w:cs="Titillium Web"/>
          <w:lang w:val="en-US"/>
        </w:rPr>
        <w:t>Cilcare’s</w:t>
      </w:r>
      <w:proofErr w:type="spellEnd"/>
      <w:r w:rsidRPr="002D0CC1">
        <w:rPr>
          <w:rFonts w:ascii="Titillium Web" w:eastAsia="Titillium Web" w:hAnsi="Titillium Web" w:cs="Titillium Web"/>
          <w:lang w:val="en-US"/>
        </w:rPr>
        <w:t xml:space="preserve"> DIAMANT observational clinical study was designed to investigate the prevalence, functional impact, and underlying auditory profiles of hearing dysfunctions in </w:t>
      </w:r>
      <w:r w:rsidR="004368F8">
        <w:rPr>
          <w:rFonts w:ascii="Titillium Web" w:eastAsia="Titillium Web" w:hAnsi="Titillium Web" w:cs="Titillium Web"/>
          <w:lang w:val="en-US"/>
        </w:rPr>
        <w:t>people</w:t>
      </w:r>
      <w:r w:rsidRPr="002D0CC1">
        <w:rPr>
          <w:rFonts w:ascii="Titillium Web" w:eastAsia="Titillium Web" w:hAnsi="Titillium Web" w:cs="Titillium Web"/>
          <w:lang w:val="en-US"/>
        </w:rPr>
        <w:t xml:space="preserve"> with Type 2 diabetes, with the objective of identifying clinically relevant functional biomarkers to better characterize early auditory neuropathy in metabolic disorders.</w:t>
      </w:r>
    </w:p>
    <w:p w14:paraId="151FB119" w14:textId="77777777" w:rsidR="00CF29DE" w:rsidRDefault="00CF29DE" w:rsidP="00287ACE">
      <w:pPr>
        <w:jc w:val="both"/>
        <w:rPr>
          <w:rFonts w:ascii="Titillium Web" w:eastAsia="Titillium Web" w:hAnsi="Titillium Web" w:cs="Titillium Web"/>
          <w:lang w:val="en-US"/>
        </w:rPr>
      </w:pPr>
    </w:p>
    <w:p w14:paraId="6B4BE51C" w14:textId="436D5186" w:rsidR="00FE4DE4" w:rsidRPr="007C42FC" w:rsidRDefault="000027F6" w:rsidP="00287ACE">
      <w:pPr>
        <w:jc w:val="both"/>
        <w:rPr>
          <w:rFonts w:ascii="Titillium Web" w:eastAsia="Titillium Web" w:hAnsi="Titillium Web" w:cs="Titillium Web"/>
          <w:lang w:val="en-US"/>
        </w:rPr>
      </w:pPr>
      <w:r>
        <w:rPr>
          <w:rFonts w:ascii="Titillium Web" w:eastAsia="Titillium Web" w:hAnsi="Titillium Web" w:cs="Titillium Web"/>
          <w:lang w:val="en-US"/>
        </w:rPr>
        <w:t xml:space="preserve">241 </w:t>
      </w:r>
      <w:r w:rsidR="00DE2E36">
        <w:rPr>
          <w:rFonts w:ascii="Titillium Web" w:eastAsia="Titillium Web" w:hAnsi="Titillium Web" w:cs="Titillium Web"/>
          <w:lang w:val="en-US"/>
        </w:rPr>
        <w:t>participants</w:t>
      </w:r>
      <w:r>
        <w:rPr>
          <w:rFonts w:ascii="Titillium Web" w:eastAsia="Titillium Web" w:hAnsi="Titillium Web" w:cs="Titillium Web"/>
          <w:lang w:val="en-US"/>
        </w:rPr>
        <w:t xml:space="preserve"> with uncontrolled Type 2 diabetes </w:t>
      </w:r>
      <w:r w:rsidR="00DE2E36">
        <w:rPr>
          <w:rFonts w:ascii="Titillium Web" w:eastAsia="Titillium Web" w:hAnsi="Titillium Web" w:cs="Titillium Web"/>
          <w:lang w:val="en-US"/>
        </w:rPr>
        <w:t>underwent a series of auditory and electrophysiology tests</w:t>
      </w:r>
      <w:r w:rsidR="005F69B3">
        <w:rPr>
          <w:rFonts w:ascii="Titillium Web" w:eastAsia="Titillium Web" w:hAnsi="Titillium Web" w:cs="Titillium Web"/>
          <w:lang w:val="en-US"/>
        </w:rPr>
        <w:t xml:space="preserve">. </w:t>
      </w:r>
      <w:r w:rsidR="007C42FC">
        <w:rPr>
          <w:rFonts w:ascii="Titillium Web" w:eastAsia="Titillium Web" w:hAnsi="Titillium Web" w:cs="Titillium Web"/>
          <w:lang w:val="en-US"/>
        </w:rPr>
        <w:t xml:space="preserve">Key findings </w:t>
      </w:r>
      <w:r w:rsidR="007C42FC" w:rsidRPr="007C42FC">
        <w:rPr>
          <w:rFonts w:ascii="Titillium Web" w:eastAsia="Titillium Web" w:hAnsi="Titillium Web" w:cs="Titillium Web"/>
          <w:lang w:val="en-US"/>
        </w:rPr>
        <w:t>from the DIAMANT study include:</w:t>
      </w:r>
    </w:p>
    <w:p w14:paraId="1F60F168" w14:textId="7C11C1B5" w:rsidR="007C42FC" w:rsidRPr="007C42FC" w:rsidRDefault="553E4942" w:rsidP="007C42FC">
      <w:pPr>
        <w:pStyle w:val="Paragraphedeliste"/>
        <w:numPr>
          <w:ilvl w:val="0"/>
          <w:numId w:val="1"/>
        </w:numPr>
        <w:rPr>
          <w:rFonts w:ascii="Titillium Web" w:hAnsi="Titillium Web"/>
          <w:lang w:val="en-US"/>
        </w:rPr>
      </w:pPr>
      <w:r w:rsidRPr="4299C413">
        <w:rPr>
          <w:rFonts w:ascii="Titillium Web" w:hAnsi="Titillium Web"/>
          <w:lang w:val="en-US"/>
        </w:rPr>
        <w:t>26% of cognitive</w:t>
      </w:r>
      <w:r w:rsidR="498D531A" w:rsidRPr="4299C413">
        <w:rPr>
          <w:rFonts w:ascii="Titillium Web" w:hAnsi="Titillium Web"/>
          <w:lang w:val="en-US"/>
        </w:rPr>
        <w:t>ly</w:t>
      </w:r>
      <w:r w:rsidRPr="4299C413">
        <w:rPr>
          <w:rFonts w:ascii="Titillium Web" w:hAnsi="Titillium Web"/>
          <w:lang w:val="en-US"/>
        </w:rPr>
        <w:t xml:space="preserve"> preserved diabetic </w:t>
      </w:r>
      <w:proofErr w:type="gramStart"/>
      <w:r w:rsidRPr="4299C413">
        <w:rPr>
          <w:rFonts w:ascii="Titillium Web" w:hAnsi="Titillium Web"/>
          <w:lang w:val="en-US"/>
        </w:rPr>
        <w:t xml:space="preserve">patients  </w:t>
      </w:r>
      <w:r w:rsidR="6835AECF" w:rsidRPr="4299C413">
        <w:rPr>
          <w:rFonts w:ascii="Titillium Web" w:hAnsi="Titillium Web"/>
          <w:lang w:val="en-US"/>
        </w:rPr>
        <w:t>present</w:t>
      </w:r>
      <w:r w:rsidRPr="4299C413">
        <w:rPr>
          <w:rFonts w:ascii="Titillium Web" w:hAnsi="Titillium Web"/>
          <w:lang w:val="en-US"/>
        </w:rPr>
        <w:t>ed</w:t>
      </w:r>
      <w:proofErr w:type="gramEnd"/>
      <w:r w:rsidRPr="4299C413">
        <w:rPr>
          <w:rFonts w:ascii="Titillium Web" w:hAnsi="Titillium Web"/>
          <w:lang w:val="en-US"/>
        </w:rPr>
        <w:t xml:space="preserve"> </w:t>
      </w:r>
      <w:r w:rsidR="4FB6ACF0" w:rsidRPr="4299C413">
        <w:rPr>
          <w:rFonts w:ascii="Titillium Web" w:hAnsi="Titillium Web"/>
          <w:lang w:val="en-US"/>
        </w:rPr>
        <w:t xml:space="preserve">clinical </w:t>
      </w:r>
      <w:r w:rsidRPr="4299C413">
        <w:rPr>
          <w:rFonts w:ascii="Titillium Web" w:hAnsi="Titillium Web"/>
          <w:lang w:val="en-US"/>
        </w:rPr>
        <w:t>signs of hidden hearing loss</w:t>
      </w:r>
    </w:p>
    <w:p w14:paraId="031965A6" w14:textId="39F39483" w:rsidR="007C42FC" w:rsidRPr="007C42FC" w:rsidRDefault="15199C68" w:rsidP="007C42FC">
      <w:pPr>
        <w:pStyle w:val="Paragraphedeliste"/>
        <w:numPr>
          <w:ilvl w:val="0"/>
          <w:numId w:val="1"/>
        </w:numPr>
        <w:rPr>
          <w:rFonts w:ascii="Titillium Web" w:hAnsi="Titillium Web"/>
          <w:lang w:val="en-US"/>
        </w:rPr>
      </w:pPr>
      <w:r w:rsidRPr="6EC75BC5">
        <w:rPr>
          <w:rFonts w:ascii="Titillium Web" w:hAnsi="Titillium Web"/>
          <w:lang w:val="en-US"/>
        </w:rPr>
        <w:t xml:space="preserve">Hidden Hearing Loss group had a significant reduction in </w:t>
      </w:r>
      <w:proofErr w:type="spellStart"/>
      <w:r w:rsidRPr="6EC75BC5">
        <w:rPr>
          <w:rFonts w:ascii="Titillium Web" w:hAnsi="Titillium Web"/>
          <w:lang w:val="en-US"/>
        </w:rPr>
        <w:t>EchohG</w:t>
      </w:r>
      <w:proofErr w:type="spellEnd"/>
      <w:r w:rsidRPr="6EC75BC5">
        <w:rPr>
          <w:rFonts w:ascii="Titillium Web" w:hAnsi="Titillium Web"/>
          <w:lang w:val="en-US"/>
        </w:rPr>
        <w:t xml:space="preserve"> Wave I amplitude compared with those with Normal Hearing suggesting that it could be an intere</w:t>
      </w:r>
      <w:r w:rsidR="76AC643C" w:rsidRPr="6EC75BC5">
        <w:rPr>
          <w:rFonts w:ascii="Titillium Web" w:hAnsi="Titillium Web"/>
          <w:lang w:val="en-US"/>
        </w:rPr>
        <w:t>sting</w:t>
      </w:r>
      <w:r w:rsidR="05AA3558" w:rsidRPr="6EC75BC5">
        <w:rPr>
          <w:rFonts w:ascii="Titillium Web" w:hAnsi="Titillium Web"/>
          <w:lang w:val="en-US"/>
        </w:rPr>
        <w:t xml:space="preserve"> mechanistic</w:t>
      </w:r>
      <w:r w:rsidR="76AC643C" w:rsidRPr="6EC75BC5">
        <w:rPr>
          <w:rFonts w:ascii="Titillium Web" w:hAnsi="Titillium Web"/>
          <w:lang w:val="en-US"/>
        </w:rPr>
        <w:t xml:space="preserve"> biomarker</w:t>
      </w:r>
    </w:p>
    <w:p w14:paraId="646976A2" w14:textId="4F4897AC" w:rsidR="007C42FC" w:rsidRPr="007C42FC" w:rsidRDefault="59B1CB6D" w:rsidP="007C42FC">
      <w:pPr>
        <w:pStyle w:val="Paragraphedeliste"/>
        <w:numPr>
          <w:ilvl w:val="0"/>
          <w:numId w:val="1"/>
        </w:numPr>
        <w:rPr>
          <w:rFonts w:ascii="Titillium Web" w:hAnsi="Titillium Web"/>
          <w:lang w:val="en-US"/>
        </w:rPr>
      </w:pPr>
      <w:r w:rsidRPr="4299C413">
        <w:rPr>
          <w:rFonts w:ascii="Titillium Web" w:hAnsi="Titillium Web"/>
          <w:lang w:val="en-US"/>
        </w:rPr>
        <w:t>46% of diabetic patients presented Mild Cognitive Impairment (MoC</w:t>
      </w:r>
      <w:r w:rsidR="5C92CD9B" w:rsidRPr="4299C413">
        <w:rPr>
          <w:rFonts w:ascii="Titillium Web" w:hAnsi="Titillium Web"/>
          <w:lang w:val="en-US"/>
        </w:rPr>
        <w:t>A</w:t>
      </w:r>
      <w:r w:rsidRPr="4299C413">
        <w:rPr>
          <w:rFonts w:ascii="Titillium Web" w:hAnsi="Titillium Web"/>
          <w:lang w:val="en-US"/>
        </w:rPr>
        <w:t xml:space="preserve"> &lt; 26)</w:t>
      </w:r>
      <w:r w:rsidR="29F199B5" w:rsidRPr="4299C413">
        <w:rPr>
          <w:rFonts w:ascii="Titillium Web" w:hAnsi="Titillium Web"/>
          <w:lang w:val="en-US"/>
        </w:rPr>
        <w:t xml:space="preserve"> highlighting</w:t>
      </w:r>
      <w:r w:rsidR="2D6BB0F2" w:rsidRPr="4299C413">
        <w:rPr>
          <w:rFonts w:ascii="Titillium Web" w:hAnsi="Titillium Web"/>
          <w:lang w:val="en-US"/>
        </w:rPr>
        <w:t xml:space="preserve"> the need to understand</w:t>
      </w:r>
      <w:r w:rsidR="29F199B5" w:rsidRPr="4299C413">
        <w:rPr>
          <w:rFonts w:ascii="Titillium Web" w:hAnsi="Titillium Web"/>
          <w:lang w:val="en-US"/>
        </w:rPr>
        <w:t xml:space="preserve"> the</w:t>
      </w:r>
      <w:r w:rsidR="65DB19B6" w:rsidRPr="4299C413">
        <w:rPr>
          <w:rFonts w:ascii="Titillium Web" w:hAnsi="Titillium Web"/>
          <w:lang w:val="en-US"/>
        </w:rPr>
        <w:t xml:space="preserve"> interplay of hearing, diabetes and cognition.</w:t>
      </w:r>
    </w:p>
    <w:p w14:paraId="75200FC7" w14:textId="008BA8E0" w:rsidR="007C42FC" w:rsidRPr="007C42FC" w:rsidRDefault="007C42FC" w:rsidP="008619F5">
      <w:pPr>
        <w:numPr>
          <w:ilvl w:val="0"/>
          <w:numId w:val="1"/>
        </w:numPr>
        <w:rPr>
          <w:rFonts w:ascii="Titillium Web" w:hAnsi="Titillium Web"/>
          <w:lang w:val="en-US"/>
        </w:rPr>
      </w:pPr>
      <w:r w:rsidRPr="6EC75BC5">
        <w:rPr>
          <w:rFonts w:ascii="Titillium Web" w:hAnsi="Titillium Web"/>
          <w:lang w:val="en-US"/>
        </w:rPr>
        <w:lastRenderedPageBreak/>
        <w:t>Tinnitus was reported by 14% of patients with Hidden Hearing Loss and by 32% of patients with Hearing Loss</w:t>
      </w:r>
    </w:p>
    <w:p w14:paraId="5E954410" w14:textId="77777777" w:rsidR="007C42FC" w:rsidRDefault="007C42FC" w:rsidP="00287ACE">
      <w:pPr>
        <w:jc w:val="both"/>
        <w:rPr>
          <w:rFonts w:ascii="Titillium Web" w:eastAsia="Titillium Web" w:hAnsi="Titillium Web" w:cs="Titillium Web"/>
          <w:lang w:val="en-US"/>
        </w:rPr>
      </w:pPr>
    </w:p>
    <w:p w14:paraId="1C2111A5" w14:textId="77777777" w:rsidR="00FE4DE4" w:rsidRDefault="00FE4DE4" w:rsidP="00287ACE">
      <w:pPr>
        <w:jc w:val="both"/>
        <w:rPr>
          <w:rFonts w:ascii="Titillium Web" w:eastAsia="Titillium Web" w:hAnsi="Titillium Web" w:cs="Titillium Web"/>
          <w:lang w:val="en-US"/>
        </w:rPr>
      </w:pPr>
    </w:p>
    <w:p w14:paraId="2DC1669B" w14:textId="3DC56D42" w:rsidR="007C42FC" w:rsidRPr="00BB27AA" w:rsidRDefault="006C766E">
      <w:pPr>
        <w:jc w:val="both"/>
        <w:rPr>
          <w:rFonts w:ascii="Titillium Web" w:eastAsia="Titillium Web" w:hAnsi="Titillium Web" w:cs="Titillium Web"/>
          <w:lang w:val="en-US"/>
        </w:rPr>
      </w:pPr>
      <w:r w:rsidRPr="4299C413">
        <w:rPr>
          <w:rFonts w:ascii="Titillium Web" w:eastAsia="Titillium Web" w:hAnsi="Titillium Web" w:cs="Titillium Web"/>
          <w:i/>
          <w:iCs/>
          <w:lang w:val="en-US"/>
        </w:rPr>
        <w:t xml:space="preserve">“The DIAMANT study provides new clinical evidence of a strong association between Type 2 diabetes and early, often underdiagnosed auditory nerve dysfunction, including in patients without measurable hearing threshold </w:t>
      </w:r>
      <w:r w:rsidR="1125CE39" w:rsidRPr="4299C413">
        <w:rPr>
          <w:rFonts w:ascii="Titillium Web" w:eastAsia="Titillium Web" w:hAnsi="Titillium Web" w:cs="Titillium Web"/>
          <w:i/>
          <w:iCs/>
          <w:lang w:val="en-US"/>
        </w:rPr>
        <w:t>elevations</w:t>
      </w:r>
      <w:r w:rsidRPr="4299C413">
        <w:rPr>
          <w:rFonts w:ascii="Titillium Web" w:eastAsia="Titillium Web" w:hAnsi="Titillium Web" w:cs="Titillium Web"/>
          <w:i/>
          <w:iCs/>
          <w:lang w:val="en-US"/>
        </w:rPr>
        <w:t xml:space="preserve">. </w:t>
      </w:r>
      <w:r w:rsidR="00932E32" w:rsidRPr="4299C413">
        <w:rPr>
          <w:rFonts w:ascii="Titillium Web" w:eastAsia="Titillium Web" w:hAnsi="Titillium Web" w:cs="Titillium Web"/>
          <w:i/>
          <w:iCs/>
          <w:lang w:val="en-US"/>
        </w:rPr>
        <w:t xml:space="preserve">Hidden hearing loss is a particularly insidious form of auditory impairment, with a significant impact on daily communication and quality of life, yet it remains frequently underestimated in clinical practice. </w:t>
      </w:r>
      <w:r w:rsidRPr="4299C413">
        <w:rPr>
          <w:rFonts w:ascii="Titillium Web" w:eastAsia="Titillium Web" w:hAnsi="Titillium Web" w:cs="Titillium Web"/>
          <w:i/>
          <w:iCs/>
          <w:lang w:val="en-US"/>
        </w:rPr>
        <w:t xml:space="preserve">These findings highlight the importance of looking beyond conventional audiometry and </w:t>
      </w:r>
      <w:r w:rsidR="00484ACB" w:rsidRPr="4299C413">
        <w:rPr>
          <w:rFonts w:ascii="Titillium Web" w:eastAsia="Titillium Web" w:hAnsi="Titillium Web" w:cs="Titillium Web"/>
          <w:i/>
          <w:iCs/>
          <w:lang w:val="en-US"/>
        </w:rPr>
        <w:t>reinforce the need for improved medical recognition of these patients</w:t>
      </w:r>
      <w:r w:rsidRPr="4299C413">
        <w:rPr>
          <w:rFonts w:ascii="Titillium Web" w:eastAsia="Titillium Web" w:hAnsi="Titillium Web" w:cs="Titillium Web"/>
          <w:i/>
          <w:iCs/>
          <w:lang w:val="en-US"/>
        </w:rPr>
        <w:t>,”</w:t>
      </w:r>
      <w:r w:rsidRPr="4299C413">
        <w:rPr>
          <w:rFonts w:ascii="Titillium Web" w:eastAsia="Titillium Web" w:hAnsi="Titillium Web" w:cs="Titillium Web"/>
          <w:lang w:val="en-US"/>
        </w:rPr>
        <w:t xml:space="preserve"> said Professor Jérôme </w:t>
      </w:r>
      <w:proofErr w:type="spellStart"/>
      <w:r w:rsidRPr="4299C413">
        <w:rPr>
          <w:rFonts w:ascii="Titillium Web" w:eastAsia="Titillium Web" w:hAnsi="Titillium Web" w:cs="Titillium Web"/>
          <w:lang w:val="en-US"/>
        </w:rPr>
        <w:t>Nevoux</w:t>
      </w:r>
      <w:proofErr w:type="spellEnd"/>
      <w:r w:rsidRPr="4299C413">
        <w:rPr>
          <w:rFonts w:ascii="Titillium Web" w:eastAsia="Titillium Web" w:hAnsi="Titillium Web" w:cs="Titillium Web"/>
          <w:lang w:val="en-US"/>
        </w:rPr>
        <w:t>.</w:t>
      </w:r>
      <w:r w:rsidR="00C06B4D" w:rsidRPr="4299C413">
        <w:rPr>
          <w:rFonts w:ascii="Titillium Web" w:eastAsia="Titillium Web" w:hAnsi="Titillium Web" w:cs="Titillium Web"/>
          <w:lang w:val="en-US"/>
        </w:rPr>
        <w:t xml:space="preserve"> </w:t>
      </w:r>
    </w:p>
    <w:p w14:paraId="55EDF4EF" w14:textId="572CA14B" w:rsidR="00AA732A" w:rsidRDefault="003539C8" w:rsidP="00ED51E3">
      <w:pPr>
        <w:spacing w:before="240" w:after="240" w:line="259" w:lineRule="auto"/>
        <w:rPr>
          <w:rFonts w:ascii="Titillium Web" w:eastAsia="Titillium Web" w:hAnsi="Titillium Web" w:cs="Titillium Web"/>
          <w:i/>
          <w:iCs/>
          <w:lang w:val="en-US"/>
        </w:rPr>
      </w:pPr>
      <w:r w:rsidRPr="00086808">
        <w:rPr>
          <w:rFonts w:ascii="Titillium Web" w:eastAsia="Titillium Web" w:hAnsi="Titillium Web" w:cs="Titillium Web"/>
          <w:i/>
          <w:iCs/>
          <w:lang w:val="en-US"/>
        </w:rPr>
        <w:t>“</w:t>
      </w:r>
      <w:r w:rsidR="00C505D8" w:rsidRPr="00C505D8">
        <w:rPr>
          <w:rFonts w:ascii="Titillium Web" w:eastAsia="Titillium Web" w:hAnsi="Titillium Web" w:cs="Titillium Web"/>
          <w:i/>
          <w:iCs/>
          <w:lang w:val="en-US"/>
        </w:rPr>
        <w:t>This presentation at ARO 2026</w:t>
      </w:r>
      <w:r w:rsidR="0095326F">
        <w:rPr>
          <w:rFonts w:ascii="Titillium Web" w:eastAsia="Titillium Web" w:hAnsi="Titillium Web" w:cs="Titillium Web"/>
          <w:i/>
          <w:iCs/>
          <w:lang w:val="en-US"/>
        </w:rPr>
        <w:t xml:space="preserve">, </w:t>
      </w:r>
      <w:r w:rsidR="0095326F" w:rsidRPr="0095326F">
        <w:rPr>
          <w:rFonts w:ascii="Titillium Web" w:eastAsia="Titillium Web" w:hAnsi="Titillium Web" w:cs="Titillium Web"/>
          <w:i/>
          <w:iCs/>
          <w:lang w:val="en-US"/>
        </w:rPr>
        <w:t>the leading international conference dedicated to hearing and balance research</w:t>
      </w:r>
      <w:r w:rsidR="0095326F">
        <w:rPr>
          <w:rFonts w:ascii="Titillium Web" w:eastAsia="Titillium Web" w:hAnsi="Titillium Web" w:cs="Titillium Web"/>
          <w:i/>
          <w:iCs/>
          <w:lang w:val="en-US"/>
        </w:rPr>
        <w:t>,</w:t>
      </w:r>
      <w:r w:rsidR="00C505D8" w:rsidRPr="00C505D8">
        <w:rPr>
          <w:rFonts w:ascii="Titillium Web" w:eastAsia="Titillium Web" w:hAnsi="Titillium Web" w:cs="Titillium Web"/>
          <w:i/>
          <w:iCs/>
          <w:lang w:val="en-US"/>
        </w:rPr>
        <w:t xml:space="preserve"> represents a major milestone for C</w:t>
      </w:r>
      <w:r w:rsidR="00C505D8">
        <w:rPr>
          <w:rFonts w:ascii="Titillium Web" w:eastAsia="Titillium Web" w:hAnsi="Titillium Web" w:cs="Titillium Web"/>
          <w:i/>
          <w:iCs/>
          <w:lang w:val="en-US"/>
        </w:rPr>
        <w:t>il</w:t>
      </w:r>
      <w:r w:rsidR="00C505D8" w:rsidRPr="00C505D8">
        <w:rPr>
          <w:rFonts w:ascii="Titillium Web" w:eastAsia="Titillium Web" w:hAnsi="Titillium Web" w:cs="Titillium Web"/>
          <w:i/>
          <w:iCs/>
          <w:lang w:val="en-US"/>
        </w:rPr>
        <w:t xml:space="preserve">care,” </w:t>
      </w:r>
      <w:r w:rsidR="00C505D8" w:rsidRPr="00EC29AF">
        <w:rPr>
          <w:rFonts w:ascii="Titillium Web" w:eastAsia="Titillium Web" w:hAnsi="Titillium Web" w:cs="Titillium Web"/>
          <w:lang w:val="en-US"/>
        </w:rPr>
        <w:t xml:space="preserve">said Mathieu Schué, </w:t>
      </w:r>
      <w:r w:rsidR="00EC29AF" w:rsidRPr="00EC29AF">
        <w:rPr>
          <w:rFonts w:ascii="Titillium Web" w:eastAsia="Titillium Web" w:hAnsi="Titillium Web" w:cs="Titillium Web"/>
          <w:lang w:val="en-US"/>
        </w:rPr>
        <w:t xml:space="preserve">Chief Clinical Operations Officer, Cilcare. </w:t>
      </w:r>
      <w:r w:rsidR="00C505D8" w:rsidRPr="00C505D8">
        <w:rPr>
          <w:rFonts w:ascii="Titillium Web" w:eastAsia="Titillium Web" w:hAnsi="Titillium Web" w:cs="Titillium Web"/>
          <w:i/>
          <w:iCs/>
          <w:lang w:val="en-US"/>
        </w:rPr>
        <w:t>“The DIAMANT data reinforce our vision that metabolic diseases such as diabetes play a critical role in auditory health and validate our strategy to address hidden hearing loss through clinically driven innovation</w:t>
      </w:r>
      <w:r w:rsidR="00EC29AF">
        <w:rPr>
          <w:rFonts w:ascii="Titillium Web" w:eastAsia="Titillium Web" w:hAnsi="Titillium Web" w:cs="Titillium Web"/>
          <w:i/>
          <w:iCs/>
          <w:lang w:val="en-US"/>
        </w:rPr>
        <w:t xml:space="preserve">; </w:t>
      </w:r>
      <w:r w:rsidR="00DA3F19" w:rsidRPr="00DA3F19">
        <w:rPr>
          <w:rFonts w:ascii="Titillium Web" w:eastAsia="Titillium Web" w:hAnsi="Titillium Web" w:cs="Titillium Web"/>
          <w:i/>
          <w:iCs/>
          <w:lang w:val="en-US"/>
        </w:rPr>
        <w:t>I would like to sincerely thank all teams involved for their outstanding clinical work</w:t>
      </w:r>
      <w:r w:rsidR="00D402C8" w:rsidRPr="00D179BC">
        <w:rPr>
          <w:rFonts w:ascii="Titillium Web" w:eastAsia="Titillium Web" w:hAnsi="Titillium Web" w:cs="Titillium Web"/>
          <w:i/>
          <w:iCs/>
          <w:lang w:val="en-US"/>
        </w:rPr>
        <w:t>.</w:t>
      </w:r>
      <w:r w:rsidR="00CE5C87" w:rsidRPr="00D179BC">
        <w:rPr>
          <w:rFonts w:ascii="Titillium Web" w:eastAsia="Titillium Web" w:hAnsi="Titillium Web" w:cs="Titillium Web"/>
          <w:i/>
          <w:iCs/>
          <w:lang w:val="en-US"/>
        </w:rPr>
        <w:t>”</w:t>
      </w:r>
    </w:p>
    <w:p w14:paraId="77E366FA" w14:textId="514864D8" w:rsidR="00C72C36" w:rsidRPr="00C72C36" w:rsidRDefault="00C72C36" w:rsidP="00ED51E3">
      <w:pPr>
        <w:spacing w:before="240" w:after="240" w:line="259" w:lineRule="auto"/>
        <w:rPr>
          <w:rFonts w:ascii="Titillium Web" w:eastAsia="Titillium Web" w:hAnsi="Titillium Web" w:cs="Titillium Web"/>
          <w:lang w:val="en-US"/>
        </w:rPr>
      </w:pPr>
      <w:r w:rsidRPr="4299C413">
        <w:rPr>
          <w:rFonts w:ascii="Titillium Web" w:eastAsia="Titillium Web" w:hAnsi="Titillium Web" w:cs="Titillium Web"/>
          <w:lang w:val="en-US"/>
        </w:rPr>
        <w:t xml:space="preserve">The DIAMANT study further strengthens </w:t>
      </w:r>
      <w:proofErr w:type="spellStart"/>
      <w:r w:rsidRPr="4299C413">
        <w:rPr>
          <w:rFonts w:ascii="Titillium Web" w:eastAsia="Titillium Web" w:hAnsi="Titillium Web" w:cs="Titillium Web"/>
          <w:lang w:val="en-US"/>
        </w:rPr>
        <w:t>Cilcare’s</w:t>
      </w:r>
      <w:proofErr w:type="spellEnd"/>
      <w:r w:rsidRPr="4299C413">
        <w:rPr>
          <w:rFonts w:ascii="Titillium Web" w:eastAsia="Titillium Web" w:hAnsi="Titillium Web" w:cs="Titillium Web"/>
          <w:lang w:val="en-US"/>
        </w:rPr>
        <w:t xml:space="preserve"> clinical strategy, bridging real-world clinical evidence, advanced auditory biomarkers, and therapeutic development to address unmet needs in hearing health. These data support the ongoing development of CIL001, </w:t>
      </w:r>
      <w:proofErr w:type="spellStart"/>
      <w:r w:rsidRPr="4299C413">
        <w:rPr>
          <w:rFonts w:ascii="Titillium Web" w:eastAsia="Titillium Web" w:hAnsi="Titillium Web" w:cs="Titillium Web"/>
          <w:lang w:val="en-US"/>
        </w:rPr>
        <w:t>C</w:t>
      </w:r>
      <w:r w:rsidR="0041186D" w:rsidRPr="4299C413">
        <w:rPr>
          <w:rFonts w:ascii="Titillium Web" w:eastAsia="Titillium Web" w:hAnsi="Titillium Web" w:cs="Titillium Web"/>
          <w:lang w:val="en-US"/>
        </w:rPr>
        <w:t>il</w:t>
      </w:r>
      <w:r w:rsidRPr="4299C413">
        <w:rPr>
          <w:rFonts w:ascii="Titillium Web" w:eastAsia="Titillium Web" w:hAnsi="Titillium Web" w:cs="Titillium Web"/>
          <w:lang w:val="en-US"/>
        </w:rPr>
        <w:t>care’s</w:t>
      </w:r>
      <w:proofErr w:type="spellEnd"/>
      <w:r w:rsidRPr="4299C413">
        <w:rPr>
          <w:rFonts w:ascii="Titillium Web" w:eastAsia="Titillium Web" w:hAnsi="Titillium Web" w:cs="Titillium Web"/>
          <w:lang w:val="en-US"/>
        </w:rPr>
        <w:t xml:space="preserve"> lead drug candidate targeting cochlear </w:t>
      </w:r>
      <w:proofErr w:type="spellStart"/>
      <w:r w:rsidRPr="4299C413">
        <w:rPr>
          <w:rFonts w:ascii="Titillium Web" w:eastAsia="Titillium Web" w:hAnsi="Titillium Web" w:cs="Titillium Web"/>
          <w:lang w:val="en-US"/>
        </w:rPr>
        <w:t>synaptopathy</w:t>
      </w:r>
      <w:proofErr w:type="spellEnd"/>
      <w:r w:rsidRPr="4299C413">
        <w:rPr>
          <w:rFonts w:ascii="Titillium Web" w:eastAsia="Titillium Web" w:hAnsi="Titillium Web" w:cs="Titillium Web"/>
          <w:lang w:val="en-US"/>
        </w:rPr>
        <w:t xml:space="preserve">, </w:t>
      </w:r>
      <w:r w:rsidR="4F92520B" w:rsidRPr="4299C413">
        <w:rPr>
          <w:rFonts w:ascii="Titillium Web" w:eastAsia="Titillium Web" w:hAnsi="Titillium Web" w:cs="Titillium Web"/>
          <w:lang w:val="en-US"/>
        </w:rPr>
        <w:t>a mec</w:t>
      </w:r>
      <w:r w:rsidR="5665BDBF" w:rsidRPr="4299C413">
        <w:rPr>
          <w:rFonts w:ascii="Titillium Web" w:eastAsia="Titillium Web" w:hAnsi="Titillium Web" w:cs="Titillium Web"/>
          <w:lang w:val="en-US"/>
        </w:rPr>
        <w:t>h</w:t>
      </w:r>
      <w:r w:rsidR="4F92520B" w:rsidRPr="4299C413">
        <w:rPr>
          <w:rFonts w:ascii="Titillium Web" w:eastAsia="Titillium Web" w:hAnsi="Titillium Web" w:cs="Titillium Web"/>
          <w:lang w:val="en-US"/>
        </w:rPr>
        <w:t xml:space="preserve">anism of action responsible for hidden hearing loss </w:t>
      </w:r>
      <w:r w:rsidRPr="4299C413">
        <w:rPr>
          <w:rFonts w:ascii="Titillium Web" w:eastAsia="Titillium Web" w:hAnsi="Titillium Web" w:cs="Titillium Web"/>
          <w:lang w:val="en-US"/>
        </w:rPr>
        <w:t>and pave the way for future clinical studies aimed at improving outcomes for patients with hidden hearing loss</w:t>
      </w:r>
      <w:r w:rsidR="3FA4D0BD" w:rsidRPr="4299C413">
        <w:rPr>
          <w:rFonts w:ascii="Titillium Web" w:eastAsia="Titillium Web" w:hAnsi="Titillium Web" w:cs="Titillium Web"/>
          <w:lang w:val="en-US"/>
        </w:rPr>
        <w:t xml:space="preserve"> and beyond</w:t>
      </w:r>
      <w:r w:rsidR="00B26A70" w:rsidRPr="4299C413">
        <w:rPr>
          <w:rFonts w:ascii="Titillium Web" w:eastAsia="Titillium Web" w:hAnsi="Titillium Web" w:cs="Titillium Web"/>
          <w:lang w:val="en-US"/>
        </w:rPr>
        <w:t>.</w:t>
      </w:r>
    </w:p>
    <w:p w14:paraId="49722F5B" w14:textId="126C11BD" w:rsidR="00222FA9" w:rsidRPr="00BB27AA" w:rsidRDefault="00D223B5" w:rsidP="001E3E19">
      <w:pPr>
        <w:spacing w:before="240" w:after="240" w:line="259" w:lineRule="auto"/>
        <w:rPr>
          <w:lang w:val="en-US"/>
        </w:rPr>
      </w:pPr>
      <w:r w:rsidRPr="00750737">
        <w:rPr>
          <w:rFonts w:ascii="Titillium Web" w:eastAsia="Titillium Web" w:hAnsi="Titillium Web" w:cs="Titillium Web"/>
          <w:b/>
          <w:lang w:val="en-US"/>
        </w:rPr>
        <w:t xml:space="preserve">Press Contact </w:t>
      </w:r>
      <w:r w:rsidRPr="00750737">
        <w:rPr>
          <w:rFonts w:ascii="Titillium Web" w:eastAsia="Titillium Web" w:hAnsi="Titillium Web" w:cs="Titillium Web"/>
          <w:b/>
          <w:lang w:val="en-US"/>
        </w:rPr>
        <w:br/>
      </w:r>
      <w:r w:rsidRPr="00750737">
        <w:rPr>
          <w:rFonts w:ascii="Titillium Web" w:eastAsia="Titillium Web" w:hAnsi="Titillium Web" w:cs="Titillium Web"/>
          <w:lang w:val="en-US"/>
        </w:rPr>
        <w:t xml:space="preserve">Marie Peytavy, Marketing &amp; Communication Director: </w:t>
      </w:r>
      <w:hyperlink r:id="rId10" w:history="1">
        <w:r w:rsidR="00986DA2" w:rsidRPr="00B15326">
          <w:rPr>
            <w:rStyle w:val="Lienhypertexte"/>
            <w:lang w:val="en-US"/>
          </w:rPr>
          <w:t>marie.peytavy@cilcare.com</w:t>
        </w:r>
      </w:hyperlink>
      <w:r w:rsidR="00986DA2">
        <w:rPr>
          <w:lang w:val="en-US"/>
        </w:rPr>
        <w:t xml:space="preserve"> </w:t>
      </w:r>
    </w:p>
    <w:p w14:paraId="02BF4690" w14:textId="358FD0BA" w:rsidR="002D012E" w:rsidRDefault="002D012E" w:rsidP="6EC75BC5">
      <w:pPr>
        <w:spacing w:before="240" w:after="240" w:line="259" w:lineRule="auto"/>
        <w:rPr>
          <w:rFonts w:ascii="Titillium Web" w:eastAsia="Titillium Web" w:hAnsi="Titillium Web" w:cs="Titillium Web"/>
          <w:b/>
          <w:bCs/>
          <w:lang w:val="en-US"/>
        </w:rPr>
      </w:pPr>
      <w:r w:rsidRPr="4299C413">
        <w:rPr>
          <w:rFonts w:ascii="Titillium Web" w:eastAsia="Titillium Web" w:hAnsi="Titillium Web" w:cs="Titillium Web"/>
          <w:b/>
          <w:bCs/>
          <w:lang w:val="en-US"/>
        </w:rPr>
        <w:t xml:space="preserve">About Diamant </w:t>
      </w:r>
      <w:r w:rsidR="315BF21A" w:rsidRPr="4299C413">
        <w:rPr>
          <w:rFonts w:ascii="Titillium Web" w:eastAsia="Titillium Web" w:hAnsi="Titillium Web" w:cs="Titillium Web"/>
          <w:b/>
          <w:bCs/>
          <w:lang w:val="en-US"/>
        </w:rPr>
        <w:t xml:space="preserve">non-interventional </w:t>
      </w:r>
      <w:r w:rsidRPr="4299C413">
        <w:rPr>
          <w:rFonts w:ascii="Titillium Web" w:eastAsia="Titillium Web" w:hAnsi="Titillium Web" w:cs="Titillium Web"/>
          <w:b/>
          <w:bCs/>
          <w:lang w:val="en-US"/>
        </w:rPr>
        <w:t xml:space="preserve">clinical </w:t>
      </w:r>
      <w:r w:rsidR="1D23D3DE" w:rsidRPr="4299C413">
        <w:rPr>
          <w:rFonts w:ascii="Titillium Web" w:eastAsia="Titillium Web" w:hAnsi="Titillium Web" w:cs="Titillium Web"/>
          <w:b/>
          <w:bCs/>
          <w:lang w:val="en-US"/>
        </w:rPr>
        <w:t>study</w:t>
      </w:r>
    </w:p>
    <w:p w14:paraId="3415FB55" w14:textId="74E55BA8" w:rsidR="00D8423D" w:rsidRPr="00D8423D" w:rsidRDefault="00D8423D" w:rsidP="00D8423D">
      <w:pPr>
        <w:rPr>
          <w:rFonts w:ascii="Titillium Web" w:eastAsia="Titillium Web" w:hAnsi="Titillium Web" w:cs="Titillium Web"/>
          <w:lang w:val="en-US"/>
        </w:rPr>
      </w:pPr>
      <w:r w:rsidRPr="4299C413">
        <w:rPr>
          <w:rFonts w:ascii="Titillium Web" w:eastAsia="Titillium Web" w:hAnsi="Titillium Web" w:cs="Titillium Web"/>
          <w:lang w:val="en-US"/>
        </w:rPr>
        <w:t>DIAMANT was a French, multicenter, cross-sectional, prospective study conducted at three diabetology centers</w:t>
      </w:r>
      <w:r w:rsidR="006F3508" w:rsidRPr="4299C413">
        <w:rPr>
          <w:rFonts w:ascii="Titillium Web" w:eastAsia="Titillium Web" w:hAnsi="Titillium Web" w:cs="Titillium Web"/>
          <w:lang w:val="en-US"/>
        </w:rPr>
        <w:t>,</w:t>
      </w:r>
      <w:r w:rsidR="0045405A" w:rsidRPr="4299C413">
        <w:rPr>
          <w:rFonts w:ascii="Titillium Web" w:eastAsia="Titillium Web" w:hAnsi="Titillium Web" w:cs="Titillium Web"/>
          <w:lang w:val="en-US"/>
        </w:rPr>
        <w:t xml:space="preserve"> involving </w:t>
      </w:r>
      <w:r w:rsidR="77EF82BE" w:rsidRPr="4299C413">
        <w:rPr>
          <w:rFonts w:ascii="Titillium Web" w:eastAsia="Titillium Web" w:hAnsi="Titillium Web" w:cs="Titillium Web"/>
          <w:lang w:val="en-US"/>
        </w:rPr>
        <w:t>369</w:t>
      </w:r>
      <w:r w:rsidR="0045405A" w:rsidRPr="4299C413">
        <w:rPr>
          <w:rFonts w:ascii="Titillium Web" w:eastAsia="Titillium Web" w:hAnsi="Titillium Web" w:cs="Titillium Web"/>
          <w:lang w:val="en-US"/>
        </w:rPr>
        <w:t xml:space="preserve"> p</w:t>
      </w:r>
      <w:r w:rsidR="40846DB1" w:rsidRPr="4299C413">
        <w:rPr>
          <w:rFonts w:ascii="Titillium Web" w:eastAsia="Titillium Web" w:hAnsi="Titillium Web" w:cs="Titillium Web"/>
          <w:lang w:val="en-US"/>
        </w:rPr>
        <w:t>articipants</w:t>
      </w:r>
      <w:r w:rsidR="0045405A" w:rsidRPr="4299C413">
        <w:rPr>
          <w:rFonts w:ascii="Titillium Web" w:eastAsia="Titillium Web" w:hAnsi="Titillium Web" w:cs="Titillium Web"/>
          <w:lang w:val="en-US"/>
        </w:rPr>
        <w:t xml:space="preserve"> with </w:t>
      </w:r>
      <w:r w:rsidR="00137B93" w:rsidRPr="4299C413">
        <w:rPr>
          <w:rFonts w:ascii="Titillium Web" w:eastAsia="Titillium Web" w:hAnsi="Titillium Web" w:cs="Titillium Web"/>
          <w:lang w:val="en-US"/>
        </w:rPr>
        <w:t>uncontrolled Type 2 diabetes</w:t>
      </w:r>
      <w:r w:rsidRPr="4299C413">
        <w:rPr>
          <w:rFonts w:ascii="Titillium Web" w:eastAsia="Titillium Web" w:hAnsi="Titillium Web" w:cs="Titillium Web"/>
          <w:lang w:val="en-US"/>
        </w:rPr>
        <w:t xml:space="preserve">. </w:t>
      </w:r>
      <w:r w:rsidR="00A8082D" w:rsidRPr="4299C413">
        <w:rPr>
          <w:rFonts w:ascii="Titillium Web" w:eastAsia="Titillium Web" w:hAnsi="Titillium Web" w:cs="Titillium Web"/>
          <w:lang w:val="en-US"/>
        </w:rPr>
        <w:t xml:space="preserve">The study </w:t>
      </w:r>
      <w:r w:rsidRPr="4299C413">
        <w:rPr>
          <w:rFonts w:ascii="Titillium Web" w:eastAsia="Titillium Web" w:hAnsi="Titillium Web" w:cs="Titillium Web"/>
          <w:lang w:val="en-US"/>
        </w:rPr>
        <w:t xml:space="preserve">aimed to evaluate the prevalence of auditory dysfunctions, </w:t>
      </w:r>
      <w:r w:rsidR="001412D8" w:rsidRPr="4299C413">
        <w:rPr>
          <w:rFonts w:ascii="Titillium Web" w:eastAsia="Titillium Web" w:hAnsi="Titillium Web" w:cs="Titillium Web"/>
          <w:lang w:val="en-US"/>
        </w:rPr>
        <w:t>with a particular focus on sensorineural hearing loss (SNHL)</w:t>
      </w:r>
      <w:r w:rsidRPr="4299C413">
        <w:rPr>
          <w:rFonts w:ascii="Titillium Web" w:eastAsia="Titillium Web" w:hAnsi="Titillium Web" w:cs="Titillium Web"/>
          <w:lang w:val="en-US"/>
        </w:rPr>
        <w:t xml:space="preserve"> and </w:t>
      </w:r>
      <w:r w:rsidR="001412D8" w:rsidRPr="4299C413">
        <w:rPr>
          <w:rFonts w:ascii="Titillium Web" w:eastAsia="Titillium Web" w:hAnsi="Titillium Web" w:cs="Titillium Web"/>
          <w:lang w:val="en-US"/>
        </w:rPr>
        <w:t xml:space="preserve">to </w:t>
      </w:r>
      <w:r w:rsidRPr="4299C413">
        <w:rPr>
          <w:rFonts w:ascii="Titillium Web" w:eastAsia="Titillium Web" w:hAnsi="Titillium Web" w:cs="Titillium Web"/>
          <w:lang w:val="en-US"/>
        </w:rPr>
        <w:t xml:space="preserve">identify effective tools to </w:t>
      </w:r>
      <w:r w:rsidR="00432045" w:rsidRPr="4299C413">
        <w:rPr>
          <w:rFonts w:ascii="Titillium Web" w:eastAsia="Titillium Web" w:hAnsi="Titillium Web" w:cs="Titillium Web"/>
          <w:lang w:val="en-US"/>
        </w:rPr>
        <w:t>differentiate auditory profiles.</w:t>
      </w:r>
    </w:p>
    <w:p w14:paraId="4A57C8DD" w14:textId="2EE7C222" w:rsidR="00D8423D" w:rsidRPr="00D8423D" w:rsidRDefault="00432045" w:rsidP="00D8423D">
      <w:pPr>
        <w:rPr>
          <w:rFonts w:ascii="Titillium Web" w:eastAsia="Titillium Web" w:hAnsi="Titillium Web" w:cs="Titillium Web"/>
          <w:lang w:val="en-US"/>
        </w:rPr>
      </w:pPr>
      <w:r>
        <w:rPr>
          <w:rFonts w:ascii="Titillium Web" w:eastAsia="Titillium Web" w:hAnsi="Titillium Web" w:cs="Titillium Web"/>
          <w:lang w:val="en-US"/>
        </w:rPr>
        <w:t>Eligible p</w:t>
      </w:r>
      <w:r w:rsidR="00D8423D" w:rsidRPr="00D8423D">
        <w:rPr>
          <w:rFonts w:ascii="Titillium Web" w:eastAsia="Titillium Web" w:hAnsi="Titillium Web" w:cs="Titillium Web"/>
          <w:lang w:val="en-US"/>
        </w:rPr>
        <w:t xml:space="preserve">articipants (aged 25–70, T2D &gt;2 years, HbA1c &gt;7%) underwent a comprehensive battery of </w:t>
      </w:r>
      <w:r w:rsidR="003811C4">
        <w:rPr>
          <w:rFonts w:ascii="Titillium Web" w:eastAsia="Titillium Web" w:hAnsi="Titillium Web" w:cs="Titillium Web"/>
          <w:lang w:val="en-US"/>
        </w:rPr>
        <w:t xml:space="preserve">auditory and cognitive assessment </w:t>
      </w:r>
      <w:r w:rsidR="00D8423D" w:rsidRPr="00D8423D">
        <w:rPr>
          <w:rFonts w:ascii="Titillium Web" w:eastAsia="Titillium Web" w:hAnsi="Titillium Web" w:cs="Titillium Web"/>
          <w:lang w:val="en-US"/>
        </w:rPr>
        <w:t xml:space="preserve">tests: standard (0.25-8 kHz) and extended high frequency </w:t>
      </w:r>
      <w:r w:rsidR="00D8423D" w:rsidRPr="00D8423D">
        <w:rPr>
          <w:rFonts w:ascii="Titillium Web" w:eastAsia="Titillium Web" w:hAnsi="Titillium Web" w:cs="Titillium Web"/>
          <w:lang w:val="en-US"/>
        </w:rPr>
        <w:lastRenderedPageBreak/>
        <w:t xml:space="preserve">(8–16 kHz) pure-tone audiometry, </w:t>
      </w:r>
      <w:r w:rsidR="002B1650">
        <w:rPr>
          <w:rFonts w:ascii="Titillium Web" w:eastAsia="Titillium Web" w:hAnsi="Titillium Web" w:cs="Titillium Web"/>
          <w:lang w:val="en-US"/>
        </w:rPr>
        <w:t>Speech-in-noise Testing</w:t>
      </w:r>
      <w:r w:rsidR="00D8423D" w:rsidRPr="00D8423D">
        <w:rPr>
          <w:rFonts w:ascii="Titillium Web" w:eastAsia="Titillium Web" w:hAnsi="Titillium Web" w:cs="Titillium Web"/>
          <w:lang w:val="en-US"/>
        </w:rPr>
        <w:t xml:space="preserve"> with the French Matrix test (</w:t>
      </w:r>
      <w:proofErr w:type="spellStart"/>
      <w:r w:rsidR="00D8423D" w:rsidRPr="00D8423D">
        <w:rPr>
          <w:rFonts w:ascii="Titillium Web" w:eastAsia="Titillium Web" w:hAnsi="Titillium Web" w:cs="Titillium Web"/>
          <w:lang w:val="en-US"/>
        </w:rPr>
        <w:t>Framatrix</w:t>
      </w:r>
      <w:proofErr w:type="spellEnd"/>
      <w:r w:rsidR="00D8423D" w:rsidRPr="00D8423D">
        <w:rPr>
          <w:rFonts w:ascii="Titillium Web" w:eastAsia="Titillium Web" w:hAnsi="Titillium Web" w:cs="Titillium Web"/>
          <w:lang w:val="en-US"/>
        </w:rPr>
        <w:t xml:space="preserve">), Distortion Product </w:t>
      </w:r>
      <w:proofErr w:type="spellStart"/>
      <w:r w:rsidR="00D8423D" w:rsidRPr="00D8423D">
        <w:rPr>
          <w:rFonts w:ascii="Titillium Web" w:eastAsia="Titillium Web" w:hAnsi="Titillium Web" w:cs="Titillium Web"/>
          <w:lang w:val="en-US"/>
        </w:rPr>
        <w:t>OtoAcoustic</w:t>
      </w:r>
      <w:proofErr w:type="spellEnd"/>
      <w:r w:rsidR="00D8423D" w:rsidRPr="00D8423D">
        <w:rPr>
          <w:rFonts w:ascii="Titillium Web" w:eastAsia="Titillium Web" w:hAnsi="Titillium Web" w:cs="Titillium Web"/>
          <w:lang w:val="en-US"/>
        </w:rPr>
        <w:t xml:space="preserve"> Emissions (DPOAE), electrocochleography (</w:t>
      </w:r>
      <w:proofErr w:type="spellStart"/>
      <w:r w:rsidR="00D8423D" w:rsidRPr="00D8423D">
        <w:rPr>
          <w:rFonts w:ascii="Titillium Web" w:eastAsia="Titillium Web" w:hAnsi="Titillium Web" w:cs="Titillium Web"/>
          <w:lang w:val="en-US"/>
        </w:rPr>
        <w:t>EcochG</w:t>
      </w:r>
      <w:proofErr w:type="spellEnd"/>
      <w:r w:rsidR="00D8423D" w:rsidRPr="00D8423D">
        <w:rPr>
          <w:rFonts w:ascii="Titillium Web" w:eastAsia="Titillium Web" w:hAnsi="Titillium Web" w:cs="Titillium Web"/>
          <w:lang w:val="en-US"/>
        </w:rPr>
        <w:t xml:space="preserve">), and cognitive screening via the Montreal Cognitive Assessment (MoCA). </w:t>
      </w:r>
    </w:p>
    <w:p w14:paraId="78516B30" w14:textId="664F9FE3" w:rsidR="002D012E" w:rsidRPr="00150679" w:rsidRDefault="00D8423D" w:rsidP="00150679">
      <w:pPr>
        <w:rPr>
          <w:rFonts w:ascii="Titillium Web" w:eastAsia="Titillium Web" w:hAnsi="Titillium Web" w:cs="Titillium Web"/>
          <w:lang w:val="en-US"/>
        </w:rPr>
      </w:pPr>
      <w:r w:rsidRPr="4299C413">
        <w:rPr>
          <w:rFonts w:ascii="Titillium Web" w:eastAsia="Titillium Web" w:hAnsi="Titillium Web" w:cs="Titillium Web"/>
          <w:lang w:val="en-US"/>
        </w:rPr>
        <w:t>Participants with abnormal otoscopy, tympanometry, conductive / asymmetrical hearing loss were excluded</w:t>
      </w:r>
      <w:r w:rsidR="3528D5FD" w:rsidRPr="4299C413">
        <w:rPr>
          <w:rFonts w:ascii="Titillium Web" w:eastAsia="Titillium Web" w:hAnsi="Titillium Web" w:cs="Titillium Web"/>
          <w:lang w:val="en-US"/>
        </w:rPr>
        <w:t xml:space="preserve"> leading to a dataset of 241 analyzable patients</w:t>
      </w:r>
      <w:r w:rsidRPr="4299C413">
        <w:rPr>
          <w:rFonts w:ascii="Titillium Web" w:eastAsia="Titillium Web" w:hAnsi="Titillium Web" w:cs="Titillium Web"/>
          <w:lang w:val="en-US"/>
        </w:rPr>
        <w:t>.</w:t>
      </w:r>
    </w:p>
    <w:p w14:paraId="7F070E97" w14:textId="77777777" w:rsidR="00BB27AA" w:rsidRDefault="00BB27AA" w:rsidP="001E3E19">
      <w:pPr>
        <w:spacing w:before="240" w:after="240" w:line="259" w:lineRule="auto"/>
        <w:rPr>
          <w:rFonts w:ascii="Titillium Web" w:eastAsia="Titillium Web" w:hAnsi="Titillium Web" w:cs="Titillium Web"/>
          <w:b/>
          <w:lang w:val="en-US"/>
        </w:rPr>
      </w:pPr>
    </w:p>
    <w:p w14:paraId="3F48FFA9" w14:textId="56F1383B" w:rsidR="001E3E19" w:rsidRPr="001E3E19" w:rsidRDefault="001E3E19" w:rsidP="001E3E19">
      <w:pPr>
        <w:spacing w:before="240" w:after="240" w:line="259" w:lineRule="auto"/>
        <w:rPr>
          <w:rFonts w:ascii="Titillium Web" w:eastAsia="Titillium Web" w:hAnsi="Titillium Web" w:cs="Titillium Web"/>
          <w:b/>
          <w:lang w:val="en-US"/>
        </w:rPr>
      </w:pPr>
      <w:r w:rsidRPr="001E3E19">
        <w:rPr>
          <w:rFonts w:ascii="Titillium Web" w:eastAsia="Titillium Web" w:hAnsi="Titillium Web" w:cs="Titillium Web"/>
          <w:b/>
          <w:lang w:val="en-US"/>
        </w:rPr>
        <w:t>About Cilcare</w:t>
      </w:r>
    </w:p>
    <w:p w14:paraId="6E84C2AB" w14:textId="20658CA8" w:rsidR="001E3E19" w:rsidRPr="001E3E19" w:rsidRDefault="001E3E19" w:rsidP="001E3E19">
      <w:pPr>
        <w:spacing w:before="240" w:after="240" w:line="259" w:lineRule="auto"/>
        <w:jc w:val="both"/>
        <w:rPr>
          <w:rFonts w:ascii="Titillium Web" w:eastAsia="Titillium Web" w:hAnsi="Titillium Web" w:cs="Titillium Web"/>
          <w:lang w:val="en-US"/>
        </w:rPr>
      </w:pPr>
      <w:r w:rsidRPr="001E3E19">
        <w:rPr>
          <w:rFonts w:ascii="Titillium Web" w:eastAsia="Titillium Web" w:hAnsi="Titillium Web" w:cs="Titillium Web"/>
          <w:lang w:val="en-US"/>
        </w:rPr>
        <w:t xml:space="preserve">Cilcare is a biotechnology company specializing in auditory sciences, developing cutting-edge solutions for the characterization, diagnosis, and treatment of hearing disorders and associated diseases. Founded by three visionary women entrepreneurs, the company now employs a team of </w:t>
      </w:r>
      <w:r w:rsidR="00416934">
        <w:rPr>
          <w:rFonts w:ascii="Titillium Web" w:eastAsia="Titillium Web" w:hAnsi="Titillium Web" w:cs="Titillium Web"/>
          <w:lang w:val="en-US"/>
        </w:rPr>
        <w:t>50</w:t>
      </w:r>
      <w:r w:rsidRPr="001E3E19">
        <w:rPr>
          <w:rFonts w:ascii="Titillium Web" w:eastAsia="Titillium Web" w:hAnsi="Titillium Web" w:cs="Titillium Web"/>
          <w:lang w:val="en-US"/>
        </w:rPr>
        <w:t xml:space="preserve"> international collaborators, supported by a scientific advisory board. Since its creation in 2014, Cilcare has dedicated itself to addressing these global challenges by combining an advanced R&amp;D platform, a promising drug candidate portfolio, and the use of artificial intelligence and machine learning to characterize various forms of hearing loss. For the past 10 years, Cilcare has also made its technology available to industry leaders and researchers in Europe, the United States, and Asia to accelerate the development of drugs, gene and cell therapies, and medical devices for hearing disorders.</w:t>
      </w:r>
    </w:p>
    <w:p w14:paraId="41437FC5" w14:textId="7B386C0F" w:rsidR="00764591" w:rsidRDefault="001E3E19" w:rsidP="00ED51E3">
      <w:pPr>
        <w:spacing w:before="240" w:after="240" w:line="259" w:lineRule="auto"/>
        <w:rPr>
          <w:rFonts w:ascii="Titillium Web" w:hAnsi="Titillium Web"/>
          <w:lang w:val="en-US"/>
        </w:rPr>
      </w:pPr>
      <w:r w:rsidRPr="001E3E19">
        <w:rPr>
          <w:rFonts w:ascii="Titillium Web" w:hAnsi="Titillium Web"/>
          <w:lang w:val="en-US"/>
        </w:rPr>
        <w:t xml:space="preserve">To learn more, visit </w:t>
      </w:r>
      <w:hyperlink r:id="rId11" w:history="1">
        <w:r w:rsidRPr="001E3E19">
          <w:rPr>
            <w:rStyle w:val="Lienhypertexte"/>
            <w:rFonts w:ascii="Titillium Web" w:hAnsi="Titillium Web"/>
            <w:lang w:val="en-US"/>
          </w:rPr>
          <w:t>www.cilcare.com</w:t>
        </w:r>
      </w:hyperlink>
      <w:r w:rsidRPr="001E3E19">
        <w:rPr>
          <w:rFonts w:ascii="Titillium Web" w:hAnsi="Titillium Web"/>
          <w:lang w:val="en-US"/>
        </w:rPr>
        <w:t xml:space="preserve"> </w:t>
      </w:r>
    </w:p>
    <w:p w14:paraId="26015BBC" w14:textId="77777777" w:rsidR="003120FF" w:rsidRDefault="003120FF" w:rsidP="00ED51E3">
      <w:pPr>
        <w:spacing w:before="240" w:after="240" w:line="259" w:lineRule="auto"/>
        <w:rPr>
          <w:rFonts w:ascii="Titillium Web" w:hAnsi="Titillium Web"/>
          <w:lang w:val="en-US"/>
        </w:rPr>
      </w:pPr>
    </w:p>
    <w:p w14:paraId="492E7324" w14:textId="77777777" w:rsidR="003120FF" w:rsidRDefault="003120FF" w:rsidP="00ED51E3">
      <w:pPr>
        <w:spacing w:before="240" w:after="240" w:line="259" w:lineRule="auto"/>
        <w:rPr>
          <w:rFonts w:ascii="Titillium Web" w:hAnsi="Titillium Web"/>
          <w:lang w:val="en-US"/>
        </w:rPr>
      </w:pPr>
    </w:p>
    <w:p w14:paraId="3389385D" w14:textId="0237B8B0" w:rsidR="003120FF" w:rsidRPr="001E3E19" w:rsidRDefault="003120FF" w:rsidP="003120FF">
      <w:pPr>
        <w:spacing w:before="240" w:after="240" w:line="259" w:lineRule="auto"/>
        <w:jc w:val="center"/>
        <w:rPr>
          <w:rFonts w:ascii="Titillium Web" w:hAnsi="Titillium Web"/>
          <w:lang w:val="en-US"/>
        </w:rPr>
      </w:pPr>
    </w:p>
    <w:p w14:paraId="10A3DA2F" w14:textId="2EB4F096" w:rsidR="3A185AD8" w:rsidRPr="004B13DA" w:rsidRDefault="3A185AD8" w:rsidP="00287ACE">
      <w:pPr>
        <w:spacing w:before="240" w:after="240" w:line="259" w:lineRule="auto"/>
        <w:jc w:val="center"/>
        <w:rPr>
          <w:lang w:val="en-US"/>
        </w:rPr>
      </w:pPr>
    </w:p>
    <w:sectPr w:rsidR="3A185AD8" w:rsidRPr="004B13DA" w:rsidSect="00ED51E3">
      <w:headerReference w:type="default" r:id="rId12"/>
      <w:footerReference w:type="default" r:id="rId13"/>
      <w:pgSz w:w="11909" w:h="16834"/>
      <w:pgMar w:top="1440" w:right="1440" w:bottom="1440" w:left="1440"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9237" w14:textId="77777777" w:rsidR="0009378C" w:rsidRDefault="0009378C">
      <w:pPr>
        <w:spacing w:line="240" w:lineRule="auto"/>
      </w:pPr>
      <w:r>
        <w:separator/>
      </w:r>
    </w:p>
  </w:endnote>
  <w:endnote w:type="continuationSeparator" w:id="0">
    <w:p w14:paraId="4D8E4C22" w14:textId="77777777" w:rsidR="0009378C" w:rsidRDefault="00093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911D" w14:textId="3E0B781C" w:rsidR="00ED51E3" w:rsidRPr="00ED51E3" w:rsidRDefault="00000000" w:rsidP="00D914DD">
    <w:pPr>
      <w:pStyle w:val="Pieddepage"/>
      <w:jc w:val="center"/>
    </w:pPr>
    <w:sdt>
      <w:sdtPr>
        <w:rPr>
          <w:rFonts w:ascii="Meiryo UI" w:eastAsia="Meiryo UI" w:hAnsi="Meiryo UI"/>
          <w:sz w:val="18"/>
        </w:rPr>
        <w:id w:val="2034687126"/>
        <w:docPartObj>
          <w:docPartGallery w:val="Page Numbers (Bottom of Page)"/>
          <w:docPartUnique/>
        </w:docPartObj>
      </w:sdtPr>
      <w:sdtContent>
        <w:r w:rsidR="00D914DD" w:rsidRPr="0002108C">
          <w:rPr>
            <w:rFonts w:ascii="Meiryo UI" w:eastAsia="Meiryo UI" w:hAnsi="Meiryo UI" w:hint="eastAsia"/>
            <w:sz w:val="18"/>
          </w:rPr>
          <w:t xml:space="preserve">── </w:t>
        </w:r>
        <w:r w:rsidR="00D914DD" w:rsidRPr="0002108C">
          <w:rPr>
            <w:rFonts w:ascii="Meiryo UI" w:eastAsia="Meiryo UI" w:hAnsi="Meiryo UI"/>
            <w:sz w:val="18"/>
          </w:rPr>
          <w:fldChar w:fldCharType="begin"/>
        </w:r>
        <w:r w:rsidR="00D914DD" w:rsidRPr="0002108C">
          <w:rPr>
            <w:rFonts w:ascii="Meiryo UI" w:eastAsia="Meiryo UI" w:hAnsi="Meiryo UI"/>
            <w:sz w:val="18"/>
          </w:rPr>
          <w:instrText>PAGE   \* MERGEFORMAT</w:instrText>
        </w:r>
        <w:r w:rsidR="00D914DD" w:rsidRPr="0002108C">
          <w:rPr>
            <w:rFonts w:ascii="Meiryo UI" w:eastAsia="Meiryo UI" w:hAnsi="Meiryo UI"/>
            <w:sz w:val="18"/>
          </w:rPr>
          <w:fldChar w:fldCharType="separate"/>
        </w:r>
        <w:r w:rsidR="00D914DD">
          <w:rPr>
            <w:rFonts w:ascii="Meiryo UI" w:eastAsia="Meiryo UI" w:hAnsi="Meiryo UI"/>
            <w:sz w:val="18"/>
          </w:rPr>
          <w:t>1</w:t>
        </w:r>
        <w:r w:rsidR="00D914DD" w:rsidRPr="0002108C">
          <w:rPr>
            <w:rFonts w:ascii="Meiryo UI" w:eastAsia="Meiryo UI" w:hAnsi="Meiryo UI"/>
            <w:sz w:val="18"/>
          </w:rPr>
          <w:fldChar w:fldCharType="end"/>
        </w:r>
        <w:r w:rsidR="00D914DD">
          <w:rPr>
            <w:rFonts w:ascii="Meiryo UI" w:eastAsia="Meiryo UI" w:hAnsi="Meiryo UI" w:hint="eastAsia"/>
            <w:sz w:val="18"/>
          </w:rPr>
          <w:t xml:space="preserve"> </w:t>
        </w:r>
        <w:r w:rsidR="00D914DD" w:rsidRPr="0002108C">
          <w:rPr>
            <w:rFonts w:ascii="Meiryo UI" w:eastAsia="Meiryo UI" w:hAnsi="Meiryo UI" w:hint="eastAsia"/>
            <w:sz w:val="1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20C2" w14:textId="77777777" w:rsidR="0009378C" w:rsidRDefault="0009378C">
      <w:pPr>
        <w:spacing w:line="240" w:lineRule="auto"/>
      </w:pPr>
      <w:r>
        <w:separator/>
      </w:r>
    </w:p>
  </w:footnote>
  <w:footnote w:type="continuationSeparator" w:id="0">
    <w:p w14:paraId="32BE463C" w14:textId="77777777" w:rsidR="0009378C" w:rsidRDefault="000937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380A" w14:textId="0D4090F1" w:rsidR="002B3A8D" w:rsidRDefault="00934C32" w:rsidP="00ED51E3">
    <w:pPr>
      <w:spacing w:before="1320"/>
    </w:pPr>
    <w:r>
      <w:rPr>
        <w:noProof/>
      </w:rPr>
      <w:drawing>
        <wp:anchor distT="0" distB="0" distL="114300" distR="114300" simplePos="0" relativeHeight="251658240" behindDoc="0" locked="0" layoutInCell="1" hidden="0" allowOverlap="1" wp14:anchorId="2FE1380B" wp14:editId="03498BF2">
          <wp:simplePos x="0" y="0"/>
          <wp:positionH relativeFrom="margin">
            <wp:align>center</wp:align>
          </wp:positionH>
          <wp:positionV relativeFrom="paragraph">
            <wp:posOffset>-19049</wp:posOffset>
          </wp:positionV>
          <wp:extent cx="2396963" cy="961046"/>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96963" cy="96104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D28A3"/>
    <w:multiLevelType w:val="hybridMultilevel"/>
    <w:tmpl w:val="7C8EB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699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8D"/>
    <w:rsid w:val="000027F6"/>
    <w:rsid w:val="000507F7"/>
    <w:rsid w:val="00051088"/>
    <w:rsid w:val="000510B3"/>
    <w:rsid w:val="000622B7"/>
    <w:rsid w:val="000727CE"/>
    <w:rsid w:val="00085B45"/>
    <w:rsid w:val="00086808"/>
    <w:rsid w:val="0009150B"/>
    <w:rsid w:val="0009378C"/>
    <w:rsid w:val="000B7EFA"/>
    <w:rsid w:val="000D7E95"/>
    <w:rsid w:val="000E5855"/>
    <w:rsid w:val="00111A9C"/>
    <w:rsid w:val="00125140"/>
    <w:rsid w:val="00130BFD"/>
    <w:rsid w:val="00137B93"/>
    <w:rsid w:val="00140AC6"/>
    <w:rsid w:val="001412D8"/>
    <w:rsid w:val="00146A9B"/>
    <w:rsid w:val="00150679"/>
    <w:rsid w:val="001517DA"/>
    <w:rsid w:val="00151DC1"/>
    <w:rsid w:val="001617FA"/>
    <w:rsid w:val="001663BD"/>
    <w:rsid w:val="001703A3"/>
    <w:rsid w:val="001705F2"/>
    <w:rsid w:val="00193783"/>
    <w:rsid w:val="00195879"/>
    <w:rsid w:val="001A3C50"/>
    <w:rsid w:val="001A42F0"/>
    <w:rsid w:val="001E2F4E"/>
    <w:rsid w:val="001E3E19"/>
    <w:rsid w:val="001F432A"/>
    <w:rsid w:val="00222FA9"/>
    <w:rsid w:val="00224A3A"/>
    <w:rsid w:val="00232919"/>
    <w:rsid w:val="002447E8"/>
    <w:rsid w:val="00250D1A"/>
    <w:rsid w:val="002543A4"/>
    <w:rsid w:val="002677D5"/>
    <w:rsid w:val="00271137"/>
    <w:rsid w:val="00287ACE"/>
    <w:rsid w:val="002901AD"/>
    <w:rsid w:val="00296558"/>
    <w:rsid w:val="002A1EF1"/>
    <w:rsid w:val="002A23E9"/>
    <w:rsid w:val="002A37F4"/>
    <w:rsid w:val="002A76D4"/>
    <w:rsid w:val="002B0E0E"/>
    <w:rsid w:val="002B1650"/>
    <w:rsid w:val="002B3A8D"/>
    <w:rsid w:val="002B4C1C"/>
    <w:rsid w:val="002B5510"/>
    <w:rsid w:val="002C6C59"/>
    <w:rsid w:val="002D012E"/>
    <w:rsid w:val="002D0CC1"/>
    <w:rsid w:val="002D5DEF"/>
    <w:rsid w:val="003120FF"/>
    <w:rsid w:val="00340D3B"/>
    <w:rsid w:val="003420C7"/>
    <w:rsid w:val="00347749"/>
    <w:rsid w:val="003523A5"/>
    <w:rsid w:val="003539C8"/>
    <w:rsid w:val="00360070"/>
    <w:rsid w:val="003811C4"/>
    <w:rsid w:val="003922C4"/>
    <w:rsid w:val="003A1C8A"/>
    <w:rsid w:val="003A7492"/>
    <w:rsid w:val="003B33B2"/>
    <w:rsid w:val="003B65AC"/>
    <w:rsid w:val="003C4949"/>
    <w:rsid w:val="003C4D14"/>
    <w:rsid w:val="003C626A"/>
    <w:rsid w:val="003D487E"/>
    <w:rsid w:val="00401714"/>
    <w:rsid w:val="0041186D"/>
    <w:rsid w:val="0041196F"/>
    <w:rsid w:val="004143A7"/>
    <w:rsid w:val="00415308"/>
    <w:rsid w:val="00416934"/>
    <w:rsid w:val="00432045"/>
    <w:rsid w:val="004368F8"/>
    <w:rsid w:val="0045405A"/>
    <w:rsid w:val="00467C52"/>
    <w:rsid w:val="00467D6F"/>
    <w:rsid w:val="00473563"/>
    <w:rsid w:val="00484ACB"/>
    <w:rsid w:val="00487DA6"/>
    <w:rsid w:val="004A681C"/>
    <w:rsid w:val="004B13DA"/>
    <w:rsid w:val="004B2AE5"/>
    <w:rsid w:val="004B4CDD"/>
    <w:rsid w:val="004C221A"/>
    <w:rsid w:val="004C5217"/>
    <w:rsid w:val="004C6E7D"/>
    <w:rsid w:val="004C7B47"/>
    <w:rsid w:val="004D35A6"/>
    <w:rsid w:val="004E27A4"/>
    <w:rsid w:val="0050144F"/>
    <w:rsid w:val="0051559B"/>
    <w:rsid w:val="005175DD"/>
    <w:rsid w:val="00520538"/>
    <w:rsid w:val="00556EAB"/>
    <w:rsid w:val="005617C6"/>
    <w:rsid w:val="005809A0"/>
    <w:rsid w:val="00584E64"/>
    <w:rsid w:val="005A16E7"/>
    <w:rsid w:val="005B0E32"/>
    <w:rsid w:val="005B2C16"/>
    <w:rsid w:val="005C5725"/>
    <w:rsid w:val="005E5D38"/>
    <w:rsid w:val="005F69B3"/>
    <w:rsid w:val="00604517"/>
    <w:rsid w:val="006125C0"/>
    <w:rsid w:val="006143C8"/>
    <w:rsid w:val="00632DCC"/>
    <w:rsid w:val="0063657A"/>
    <w:rsid w:val="00650883"/>
    <w:rsid w:val="00673DF6"/>
    <w:rsid w:val="006862FC"/>
    <w:rsid w:val="006A62BF"/>
    <w:rsid w:val="006C2FF1"/>
    <w:rsid w:val="006C649E"/>
    <w:rsid w:val="006C766E"/>
    <w:rsid w:val="006F1878"/>
    <w:rsid w:val="006F32BE"/>
    <w:rsid w:val="006F3508"/>
    <w:rsid w:val="006F5573"/>
    <w:rsid w:val="007012A4"/>
    <w:rsid w:val="00717BF7"/>
    <w:rsid w:val="00723459"/>
    <w:rsid w:val="00740BFE"/>
    <w:rsid w:val="0074197C"/>
    <w:rsid w:val="00750737"/>
    <w:rsid w:val="00764591"/>
    <w:rsid w:val="00776645"/>
    <w:rsid w:val="00777468"/>
    <w:rsid w:val="00783A20"/>
    <w:rsid w:val="007969BC"/>
    <w:rsid w:val="007A19C3"/>
    <w:rsid w:val="007B1EA9"/>
    <w:rsid w:val="007B7097"/>
    <w:rsid w:val="007C21F7"/>
    <w:rsid w:val="007C42FC"/>
    <w:rsid w:val="007D0EDA"/>
    <w:rsid w:val="007D6F7A"/>
    <w:rsid w:val="007E1747"/>
    <w:rsid w:val="007F0F3E"/>
    <w:rsid w:val="00814F7C"/>
    <w:rsid w:val="00824C03"/>
    <w:rsid w:val="00827B66"/>
    <w:rsid w:val="008521BA"/>
    <w:rsid w:val="0085253E"/>
    <w:rsid w:val="008619F5"/>
    <w:rsid w:val="00876F40"/>
    <w:rsid w:val="00877209"/>
    <w:rsid w:val="00881C6C"/>
    <w:rsid w:val="00882D97"/>
    <w:rsid w:val="008C1B0E"/>
    <w:rsid w:val="008D08B1"/>
    <w:rsid w:val="008D69D5"/>
    <w:rsid w:val="008D7D36"/>
    <w:rsid w:val="008F7EEC"/>
    <w:rsid w:val="00902E18"/>
    <w:rsid w:val="00921888"/>
    <w:rsid w:val="00932E32"/>
    <w:rsid w:val="00934C32"/>
    <w:rsid w:val="009431B1"/>
    <w:rsid w:val="0095326F"/>
    <w:rsid w:val="00963922"/>
    <w:rsid w:val="00965B7F"/>
    <w:rsid w:val="00972552"/>
    <w:rsid w:val="00986DA2"/>
    <w:rsid w:val="00987282"/>
    <w:rsid w:val="009A7C56"/>
    <w:rsid w:val="009B641D"/>
    <w:rsid w:val="009D08F8"/>
    <w:rsid w:val="009E584F"/>
    <w:rsid w:val="009F66A4"/>
    <w:rsid w:val="00A20EC9"/>
    <w:rsid w:val="00A20F1A"/>
    <w:rsid w:val="00A25421"/>
    <w:rsid w:val="00A56315"/>
    <w:rsid w:val="00A66BAE"/>
    <w:rsid w:val="00A8082D"/>
    <w:rsid w:val="00A80BB4"/>
    <w:rsid w:val="00AA5A0B"/>
    <w:rsid w:val="00AA732A"/>
    <w:rsid w:val="00AD2B16"/>
    <w:rsid w:val="00AE66E4"/>
    <w:rsid w:val="00AF4779"/>
    <w:rsid w:val="00AF544F"/>
    <w:rsid w:val="00B05ED9"/>
    <w:rsid w:val="00B22F41"/>
    <w:rsid w:val="00B26A70"/>
    <w:rsid w:val="00B4085F"/>
    <w:rsid w:val="00B53E8D"/>
    <w:rsid w:val="00B54F0E"/>
    <w:rsid w:val="00B57056"/>
    <w:rsid w:val="00B66850"/>
    <w:rsid w:val="00B825C9"/>
    <w:rsid w:val="00BA4D10"/>
    <w:rsid w:val="00BB27AA"/>
    <w:rsid w:val="00BC3687"/>
    <w:rsid w:val="00BC3825"/>
    <w:rsid w:val="00BE1307"/>
    <w:rsid w:val="00BE68D9"/>
    <w:rsid w:val="00C06B4D"/>
    <w:rsid w:val="00C06C8D"/>
    <w:rsid w:val="00C1607B"/>
    <w:rsid w:val="00C3548C"/>
    <w:rsid w:val="00C47572"/>
    <w:rsid w:val="00C505D8"/>
    <w:rsid w:val="00C557C9"/>
    <w:rsid w:val="00C624A1"/>
    <w:rsid w:val="00C63C27"/>
    <w:rsid w:val="00C72A55"/>
    <w:rsid w:val="00C72C36"/>
    <w:rsid w:val="00C74467"/>
    <w:rsid w:val="00C76524"/>
    <w:rsid w:val="00C81629"/>
    <w:rsid w:val="00C90095"/>
    <w:rsid w:val="00CC0C29"/>
    <w:rsid w:val="00CC33FE"/>
    <w:rsid w:val="00CC3E6E"/>
    <w:rsid w:val="00CE5C87"/>
    <w:rsid w:val="00CF29DE"/>
    <w:rsid w:val="00CF544B"/>
    <w:rsid w:val="00D01294"/>
    <w:rsid w:val="00D107F3"/>
    <w:rsid w:val="00D17366"/>
    <w:rsid w:val="00D179BC"/>
    <w:rsid w:val="00D223B5"/>
    <w:rsid w:val="00D25408"/>
    <w:rsid w:val="00D402C8"/>
    <w:rsid w:val="00D42EC8"/>
    <w:rsid w:val="00D6102F"/>
    <w:rsid w:val="00D8423D"/>
    <w:rsid w:val="00D914DD"/>
    <w:rsid w:val="00DA3F19"/>
    <w:rsid w:val="00DC6B8D"/>
    <w:rsid w:val="00DE2E36"/>
    <w:rsid w:val="00E064AE"/>
    <w:rsid w:val="00E30E8A"/>
    <w:rsid w:val="00E47449"/>
    <w:rsid w:val="00E50F26"/>
    <w:rsid w:val="00E6011E"/>
    <w:rsid w:val="00E614FE"/>
    <w:rsid w:val="00E67555"/>
    <w:rsid w:val="00E759EF"/>
    <w:rsid w:val="00EA1560"/>
    <w:rsid w:val="00EB2D2C"/>
    <w:rsid w:val="00EB2E34"/>
    <w:rsid w:val="00EB4499"/>
    <w:rsid w:val="00EC29AF"/>
    <w:rsid w:val="00ED2F42"/>
    <w:rsid w:val="00ED51E3"/>
    <w:rsid w:val="00EE0550"/>
    <w:rsid w:val="00EE1E2D"/>
    <w:rsid w:val="00EF523A"/>
    <w:rsid w:val="00F021E0"/>
    <w:rsid w:val="00F104AF"/>
    <w:rsid w:val="00F12D55"/>
    <w:rsid w:val="00F54B7F"/>
    <w:rsid w:val="00F63C92"/>
    <w:rsid w:val="00F645A0"/>
    <w:rsid w:val="00F84CCC"/>
    <w:rsid w:val="00FC5FD6"/>
    <w:rsid w:val="00FD5E85"/>
    <w:rsid w:val="00FD623E"/>
    <w:rsid w:val="00FE4DE4"/>
    <w:rsid w:val="01392536"/>
    <w:rsid w:val="021AC953"/>
    <w:rsid w:val="027C22F5"/>
    <w:rsid w:val="048A806C"/>
    <w:rsid w:val="05693FAD"/>
    <w:rsid w:val="05AA3558"/>
    <w:rsid w:val="088A065B"/>
    <w:rsid w:val="090ACB84"/>
    <w:rsid w:val="0A0A6103"/>
    <w:rsid w:val="0B5886EB"/>
    <w:rsid w:val="0DDFF44B"/>
    <w:rsid w:val="1125CE39"/>
    <w:rsid w:val="134143F1"/>
    <w:rsid w:val="13969312"/>
    <w:rsid w:val="1497F723"/>
    <w:rsid w:val="15199C68"/>
    <w:rsid w:val="1B1657B7"/>
    <w:rsid w:val="1D23D3DE"/>
    <w:rsid w:val="2266F040"/>
    <w:rsid w:val="228BC0CF"/>
    <w:rsid w:val="23217F1B"/>
    <w:rsid w:val="23FEBAC8"/>
    <w:rsid w:val="24706294"/>
    <w:rsid w:val="2485514E"/>
    <w:rsid w:val="24923DAB"/>
    <w:rsid w:val="24BA15E8"/>
    <w:rsid w:val="2670E782"/>
    <w:rsid w:val="28F2D348"/>
    <w:rsid w:val="29F199B5"/>
    <w:rsid w:val="2D6BB0F2"/>
    <w:rsid w:val="2E43A57D"/>
    <w:rsid w:val="2E764A65"/>
    <w:rsid w:val="30131C79"/>
    <w:rsid w:val="30A67554"/>
    <w:rsid w:val="315BF21A"/>
    <w:rsid w:val="3528D5FD"/>
    <w:rsid w:val="39AA8FD4"/>
    <w:rsid w:val="3A185AD8"/>
    <w:rsid w:val="3A3B2516"/>
    <w:rsid w:val="3CC23E05"/>
    <w:rsid w:val="3FA4D0BD"/>
    <w:rsid w:val="40846DB1"/>
    <w:rsid w:val="412B6DA6"/>
    <w:rsid w:val="4299C413"/>
    <w:rsid w:val="45A7091F"/>
    <w:rsid w:val="4891ADA6"/>
    <w:rsid w:val="498D531A"/>
    <w:rsid w:val="4A0CBBC6"/>
    <w:rsid w:val="4AAC2553"/>
    <w:rsid w:val="4F92520B"/>
    <w:rsid w:val="4FB6ACF0"/>
    <w:rsid w:val="5054DFC3"/>
    <w:rsid w:val="53813541"/>
    <w:rsid w:val="553E4942"/>
    <w:rsid w:val="5665BDBF"/>
    <w:rsid w:val="56E9119C"/>
    <w:rsid w:val="5750DA8D"/>
    <w:rsid w:val="57C1A79C"/>
    <w:rsid w:val="59B1CB6D"/>
    <w:rsid w:val="5C560676"/>
    <w:rsid w:val="5C92CD9B"/>
    <w:rsid w:val="5DB5C7BF"/>
    <w:rsid w:val="60CF3CA2"/>
    <w:rsid w:val="62A0B511"/>
    <w:rsid w:val="64C71C4B"/>
    <w:rsid w:val="64F9752F"/>
    <w:rsid w:val="65DB19B6"/>
    <w:rsid w:val="6662FD3D"/>
    <w:rsid w:val="6835AECF"/>
    <w:rsid w:val="69BC965A"/>
    <w:rsid w:val="6B2C5880"/>
    <w:rsid w:val="6CB6B941"/>
    <w:rsid w:val="6EC75BC5"/>
    <w:rsid w:val="6EF835CF"/>
    <w:rsid w:val="7405069B"/>
    <w:rsid w:val="75BDDCC5"/>
    <w:rsid w:val="75F20B66"/>
    <w:rsid w:val="76AC643C"/>
    <w:rsid w:val="77EF82BE"/>
    <w:rsid w:val="79AB7F33"/>
    <w:rsid w:val="7D56A343"/>
    <w:rsid w:val="7E50D290"/>
    <w:rsid w:val="7ED3A88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137F5"/>
  <w15:docId w15:val="{12BB19AC-54FB-48B8-A356-19E1463F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B4085F"/>
    <w:pPr>
      <w:tabs>
        <w:tab w:val="center" w:pos="4536"/>
        <w:tab w:val="right" w:pos="9072"/>
      </w:tabs>
      <w:spacing w:line="240" w:lineRule="auto"/>
    </w:pPr>
  </w:style>
  <w:style w:type="character" w:customStyle="1" w:styleId="En-tteCar">
    <w:name w:val="En-tête Car"/>
    <w:basedOn w:val="Policepardfaut"/>
    <w:link w:val="En-tte"/>
    <w:uiPriority w:val="99"/>
    <w:rsid w:val="00B4085F"/>
  </w:style>
  <w:style w:type="paragraph" w:styleId="Pieddepage">
    <w:name w:val="footer"/>
    <w:basedOn w:val="Normal"/>
    <w:link w:val="PieddepageCar"/>
    <w:uiPriority w:val="99"/>
    <w:unhideWhenUsed/>
    <w:rsid w:val="00B4085F"/>
    <w:pPr>
      <w:tabs>
        <w:tab w:val="center" w:pos="4536"/>
        <w:tab w:val="right" w:pos="9072"/>
      </w:tabs>
      <w:spacing w:line="240" w:lineRule="auto"/>
    </w:pPr>
  </w:style>
  <w:style w:type="character" w:customStyle="1" w:styleId="PieddepageCar">
    <w:name w:val="Pied de page Car"/>
    <w:basedOn w:val="Policepardfaut"/>
    <w:link w:val="Pieddepage"/>
    <w:uiPriority w:val="99"/>
    <w:rsid w:val="00B4085F"/>
  </w:style>
  <w:style w:type="character" w:styleId="Lienhypertexte">
    <w:name w:val="Hyperlink"/>
    <w:basedOn w:val="Policepardfaut"/>
    <w:uiPriority w:val="99"/>
    <w:unhideWhenUsed/>
    <w:rsid w:val="00D223B5"/>
    <w:rPr>
      <w:color w:val="0000FF" w:themeColor="hyperlink"/>
      <w:u w:val="single"/>
    </w:rPr>
  </w:style>
  <w:style w:type="character" w:styleId="Mentionnonrsolue">
    <w:name w:val="Unresolved Mention"/>
    <w:basedOn w:val="Policepardfaut"/>
    <w:uiPriority w:val="99"/>
    <w:semiHidden/>
    <w:unhideWhenUsed/>
    <w:rsid w:val="00D223B5"/>
    <w:rPr>
      <w:color w:val="605E5C"/>
      <w:shd w:val="clear" w:color="auto" w:fill="E1DFDD"/>
    </w:rPr>
  </w:style>
  <w:style w:type="paragraph" w:styleId="Rvision">
    <w:name w:val="Revision"/>
    <w:hidden/>
    <w:uiPriority w:val="99"/>
    <w:semiHidden/>
    <w:rsid w:val="00F12D55"/>
    <w:pPr>
      <w:spacing w:line="240" w:lineRule="auto"/>
    </w:pPr>
  </w:style>
  <w:style w:type="character" w:styleId="Marquedecommentaire">
    <w:name w:val="annotation reference"/>
    <w:basedOn w:val="Policepardfaut"/>
    <w:uiPriority w:val="99"/>
    <w:semiHidden/>
    <w:unhideWhenUsed/>
    <w:rsid w:val="00F12D55"/>
    <w:rPr>
      <w:sz w:val="16"/>
      <w:szCs w:val="16"/>
    </w:rPr>
  </w:style>
  <w:style w:type="paragraph" w:styleId="Commentaire">
    <w:name w:val="annotation text"/>
    <w:basedOn w:val="Normal"/>
    <w:link w:val="CommentaireCar"/>
    <w:uiPriority w:val="99"/>
    <w:unhideWhenUsed/>
    <w:rsid w:val="00F12D55"/>
    <w:pPr>
      <w:spacing w:line="240" w:lineRule="auto"/>
    </w:pPr>
    <w:rPr>
      <w:sz w:val="20"/>
      <w:szCs w:val="20"/>
    </w:rPr>
  </w:style>
  <w:style w:type="character" w:customStyle="1" w:styleId="CommentaireCar">
    <w:name w:val="Commentaire Car"/>
    <w:basedOn w:val="Policepardfaut"/>
    <w:link w:val="Commentaire"/>
    <w:uiPriority w:val="99"/>
    <w:rsid w:val="00F12D55"/>
    <w:rPr>
      <w:sz w:val="20"/>
      <w:szCs w:val="20"/>
    </w:rPr>
  </w:style>
  <w:style w:type="paragraph" w:styleId="Objetducommentaire">
    <w:name w:val="annotation subject"/>
    <w:basedOn w:val="Commentaire"/>
    <w:next w:val="Commentaire"/>
    <w:link w:val="ObjetducommentaireCar"/>
    <w:uiPriority w:val="99"/>
    <w:semiHidden/>
    <w:unhideWhenUsed/>
    <w:rsid w:val="00F12D55"/>
    <w:rPr>
      <w:b/>
      <w:bCs/>
    </w:rPr>
  </w:style>
  <w:style w:type="character" w:customStyle="1" w:styleId="ObjetducommentaireCar">
    <w:name w:val="Objet du commentaire Car"/>
    <w:basedOn w:val="CommentaireCar"/>
    <w:link w:val="Objetducommentaire"/>
    <w:uiPriority w:val="99"/>
    <w:semiHidden/>
    <w:rsid w:val="00F12D55"/>
    <w:rPr>
      <w:b/>
      <w:bCs/>
      <w:sz w:val="20"/>
      <w:szCs w:val="20"/>
    </w:rPr>
  </w:style>
  <w:style w:type="paragraph" w:styleId="NormalWeb">
    <w:name w:val="Normal (Web)"/>
    <w:basedOn w:val="Normal"/>
    <w:uiPriority w:val="99"/>
    <w:semiHidden/>
    <w:unhideWhenUsed/>
    <w:rsid w:val="007B1EA9"/>
    <w:rPr>
      <w:rFonts w:ascii="Times New Roman" w:hAnsi="Times New Roman" w:cs="Times New Roman"/>
      <w:sz w:val="24"/>
      <w:szCs w:val="24"/>
    </w:rPr>
  </w:style>
  <w:style w:type="character" w:styleId="Mention">
    <w:name w:val="Mention"/>
    <w:basedOn w:val="Policepardfaut"/>
    <w:uiPriority w:val="99"/>
    <w:unhideWhenUsed/>
    <w:rsid w:val="00224A3A"/>
    <w:rPr>
      <w:color w:val="2B579A"/>
      <w:shd w:val="clear" w:color="auto" w:fill="E1DFDD"/>
    </w:rPr>
  </w:style>
  <w:style w:type="paragraph" w:styleId="Paragraphedeliste">
    <w:name w:val="List Paragraph"/>
    <w:basedOn w:val="Normal"/>
    <w:uiPriority w:val="34"/>
    <w:qFormat/>
    <w:rsid w:val="0048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512">
      <w:bodyDiv w:val="1"/>
      <w:marLeft w:val="0"/>
      <w:marRight w:val="0"/>
      <w:marTop w:val="0"/>
      <w:marBottom w:val="0"/>
      <w:divBdr>
        <w:top w:val="none" w:sz="0" w:space="0" w:color="auto"/>
        <w:left w:val="none" w:sz="0" w:space="0" w:color="auto"/>
        <w:bottom w:val="none" w:sz="0" w:space="0" w:color="auto"/>
        <w:right w:val="none" w:sz="0" w:space="0" w:color="auto"/>
      </w:divBdr>
    </w:div>
    <w:div w:id="1723674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lcar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ie.peytavy@cilca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C3F3F74BE134AB164EAF3079CC159" ma:contentTypeVersion="21" ma:contentTypeDescription="Crée un document." ma:contentTypeScope="" ma:versionID="566fb59f8c91cd072224d84d6730481b">
  <xsd:schema xmlns:xsd="http://www.w3.org/2001/XMLSchema" xmlns:xs="http://www.w3.org/2001/XMLSchema" xmlns:p="http://schemas.microsoft.com/office/2006/metadata/properties" xmlns:ns2="78cb9da9-862d-4afb-8fd7-4ebf423fcec3" xmlns:ns3="7611507e-d73d-44b2-86de-cc27b055f977" targetNamespace="http://schemas.microsoft.com/office/2006/metadata/properties" ma:root="true" ma:fieldsID="ec51c8def5c0dc55c747638d5d3c3798" ns2:_="" ns3:_="">
    <xsd:import namespace="78cb9da9-862d-4afb-8fd7-4ebf423fcec3"/>
    <xsd:import namespace="7611507e-d73d-44b2-86de-cc27b055f9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OCR" minOccurs="0"/>
                <xsd:element ref="ns2:Cr_x00e9_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b9da9-862d-4afb-8fd7-4ebf423fc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r_x00e9_ation" ma:index="20" nillable="true" ma:displayName="Création" ma:format="DateOnly" ma:internalName="Cr_x00e9_ation">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9b9e2c36-9112-4b01-bd47-d87f36ad5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Flow_SignoffStatus" ma:index="28"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1507e-d73d-44b2-86de-cc27b055f97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dfcc6e6-4fb2-42b3-a4d5-4e44834a8fc1}" ma:internalName="TaxCatchAll" ma:showField="CatchAllData" ma:web="7611507e-d73d-44b2-86de-cc27b055f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_x00e9_ation xmlns="78cb9da9-862d-4afb-8fd7-4ebf423fcec3" xsi:nil="true"/>
    <TaxCatchAll xmlns="7611507e-d73d-44b2-86de-cc27b055f977" xsi:nil="true"/>
    <lcf76f155ced4ddcb4097134ff3c332f xmlns="78cb9da9-862d-4afb-8fd7-4ebf423fcec3">
      <Terms xmlns="http://schemas.microsoft.com/office/infopath/2007/PartnerControls"/>
    </lcf76f155ced4ddcb4097134ff3c332f>
    <_Flow_SignoffStatus xmlns="78cb9da9-862d-4afb-8fd7-4ebf423fcec3" xsi:nil="true"/>
  </documentManagement>
</p:properties>
</file>

<file path=customXml/itemProps1.xml><?xml version="1.0" encoding="utf-8"?>
<ds:datastoreItem xmlns:ds="http://schemas.openxmlformats.org/officeDocument/2006/customXml" ds:itemID="{17500648-E619-45A3-83A3-A8DC239B85D8}">
  <ds:schemaRefs>
    <ds:schemaRef ds:uri="http://schemas.microsoft.com/sharepoint/v3/contenttype/forms"/>
  </ds:schemaRefs>
</ds:datastoreItem>
</file>

<file path=customXml/itemProps2.xml><?xml version="1.0" encoding="utf-8"?>
<ds:datastoreItem xmlns:ds="http://schemas.openxmlformats.org/officeDocument/2006/customXml" ds:itemID="{2A321C8E-9879-4C3F-8015-D7210614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b9da9-862d-4afb-8fd7-4ebf423fcec3"/>
    <ds:schemaRef ds:uri="7611507e-d73d-44b2-86de-cc27b055f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46D59-F31F-458D-9047-7FEE3D2101A2}">
  <ds:schemaRefs>
    <ds:schemaRef ds:uri="http://schemas.microsoft.com/office/2006/metadata/properties"/>
    <ds:schemaRef ds:uri="http://schemas.microsoft.com/office/infopath/2007/PartnerControls"/>
    <ds:schemaRef ds:uri="78cb9da9-862d-4afb-8fd7-4ebf423fcec3"/>
    <ds:schemaRef ds:uri="7611507e-d73d-44b2-86de-cc27b055f9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4959</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Peytavy</dc:creator>
  <cp:keywords/>
  <cp:lastModifiedBy>Marie Peytavy</cp:lastModifiedBy>
  <cp:revision>5</cp:revision>
  <cp:lastPrinted>2026-01-26T15:04:00Z</cp:lastPrinted>
  <dcterms:created xsi:type="dcterms:W3CDTF">2026-01-30T10:44:00Z</dcterms:created>
  <dcterms:modified xsi:type="dcterms:W3CDTF">2026-01-30T10:47:00Z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0x010100033C3F3F74BE134AB164EAF3079CC159</vt:lpwstr>
  </property>
  <property fmtid="{D5CDD505-2E9C-101B-9397-08002B2CF9AE}" pid="3" name="MediaServiceImageTags">
    <vt:lpwstr/>
  </property>
</Properties>
</file>